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4ABBF" w14:textId="1D14CA83" w:rsidR="00BE7C81" w:rsidRPr="00F34868" w:rsidRDefault="00F7473A" w:rsidP="00F34868">
      <w:pPr>
        <w:pStyle w:val="Naslov1"/>
        <w:pBdr>
          <w:bottom w:val="none" w:sz="0" w:space="0" w:color="auto"/>
        </w:pBdr>
        <w:rPr>
          <w:rFonts w:ascii="Times New Roman" w:hAnsi="Times New Roman" w:cs="Times New Roman"/>
          <w:noProof/>
          <w:sz w:val="28"/>
          <w:szCs w:val="22"/>
          <w:lang w:bidi="hr-HR"/>
        </w:rPr>
      </w:pPr>
      <w:bookmarkStart w:id="0" w:name="_Toc94868469"/>
      <w:r w:rsidRPr="005A03C5">
        <w:rPr>
          <w:rFonts w:ascii="Times New Roman" w:hAnsi="Times New Roman" w:cs="Times New Roman"/>
          <w:noProof/>
          <w:sz w:val="28"/>
          <w:szCs w:val="22"/>
          <w:lang w:bidi="hr-HR"/>
        </w:rPr>
        <w:t xml:space="preserve">Prilog </w:t>
      </w:r>
      <w:r>
        <w:rPr>
          <w:rFonts w:ascii="Times New Roman" w:hAnsi="Times New Roman" w:cs="Times New Roman"/>
          <w:noProof/>
          <w:sz w:val="28"/>
          <w:szCs w:val="22"/>
          <w:lang w:bidi="hr-HR"/>
        </w:rPr>
        <w:t>3</w:t>
      </w:r>
      <w:r w:rsidRPr="005A03C5">
        <w:rPr>
          <w:rFonts w:ascii="Times New Roman" w:hAnsi="Times New Roman" w:cs="Times New Roman"/>
          <w:noProof/>
          <w:sz w:val="28"/>
          <w:szCs w:val="22"/>
          <w:lang w:bidi="hr-HR"/>
        </w:rPr>
        <w:t xml:space="preserve">. </w:t>
      </w:r>
      <w:r>
        <w:rPr>
          <w:rFonts w:ascii="Times New Roman" w:hAnsi="Times New Roman" w:cs="Times New Roman"/>
          <w:noProof/>
          <w:sz w:val="28"/>
          <w:szCs w:val="22"/>
          <w:lang w:bidi="hr-HR"/>
        </w:rPr>
        <w:t xml:space="preserve">Akcijski plan provedbe Nacionalnog plana razvoja </w:t>
      </w:r>
      <w:r w:rsidR="00F34868">
        <w:rPr>
          <w:rFonts w:ascii="Times New Roman" w:hAnsi="Times New Roman" w:cs="Times New Roman"/>
          <w:noProof/>
          <w:sz w:val="28"/>
          <w:szCs w:val="22"/>
          <w:lang w:bidi="hr-HR"/>
        </w:rPr>
        <w:t>javne uprave</w:t>
      </w:r>
      <w:r>
        <w:rPr>
          <w:rFonts w:ascii="Times New Roman" w:hAnsi="Times New Roman" w:cs="Times New Roman"/>
          <w:noProof/>
          <w:sz w:val="28"/>
          <w:szCs w:val="22"/>
          <w:lang w:bidi="hr-HR"/>
        </w:rPr>
        <w:t xml:space="preserve"> za razdoblje od 2022. do 2024. godine</w:t>
      </w:r>
      <w:bookmarkEnd w:id="0"/>
    </w:p>
    <w:tbl>
      <w:tblPr>
        <w:tblStyle w:val="Reetkatablice"/>
        <w:tblW w:w="0" w:type="auto"/>
        <w:tblLayout w:type="fixed"/>
        <w:tblLook w:val="04A0" w:firstRow="1" w:lastRow="0" w:firstColumn="1" w:lastColumn="0" w:noHBand="0" w:noVBand="1"/>
      </w:tblPr>
      <w:tblGrid>
        <w:gridCol w:w="1794"/>
        <w:gridCol w:w="1683"/>
        <w:gridCol w:w="1016"/>
        <w:gridCol w:w="1739"/>
        <w:gridCol w:w="994"/>
        <w:gridCol w:w="1261"/>
        <w:gridCol w:w="1261"/>
        <w:gridCol w:w="1261"/>
        <w:gridCol w:w="1177"/>
        <w:gridCol w:w="1156"/>
        <w:gridCol w:w="1679"/>
      </w:tblGrid>
      <w:tr w:rsidR="005525AC" w:rsidRPr="005525AC" w14:paraId="65774533" w14:textId="77777777" w:rsidTr="00A35106">
        <w:trPr>
          <w:trHeight w:val="540"/>
        </w:trPr>
        <w:tc>
          <w:tcPr>
            <w:tcW w:w="15021" w:type="dxa"/>
            <w:gridSpan w:val="11"/>
            <w:shd w:val="clear" w:color="auto" w:fill="FFF2CC" w:themeFill="accent4" w:themeFillTint="33"/>
            <w:hideMark/>
          </w:tcPr>
          <w:p w14:paraId="72F2BE31" w14:textId="772D6161" w:rsidR="005525AC" w:rsidRPr="005525AC" w:rsidRDefault="005525AC" w:rsidP="005525AC">
            <w:pPr>
              <w:jc w:val="center"/>
              <w:rPr>
                <w:rFonts w:ascii="Times New Roman" w:hAnsi="Times New Roman" w:cs="Times New Roman"/>
                <w:b/>
                <w:bCs/>
                <w:sz w:val="24"/>
                <w:szCs w:val="24"/>
              </w:rPr>
            </w:pPr>
            <w:r w:rsidRPr="005525AC">
              <w:rPr>
                <w:rFonts w:ascii="Times New Roman" w:hAnsi="Times New Roman" w:cs="Times New Roman"/>
                <w:b/>
                <w:bCs/>
                <w:sz w:val="24"/>
                <w:szCs w:val="24"/>
              </w:rPr>
              <w:t>Popis mjera za provedbu posebnog cilja</w:t>
            </w:r>
            <w:r>
              <w:rPr>
                <w:rFonts w:ascii="Times New Roman" w:hAnsi="Times New Roman" w:cs="Times New Roman"/>
                <w:b/>
                <w:bCs/>
                <w:sz w:val="24"/>
                <w:szCs w:val="24"/>
              </w:rPr>
              <w:t xml:space="preserve"> 1</w:t>
            </w:r>
          </w:p>
        </w:tc>
      </w:tr>
      <w:tr w:rsidR="005525AC" w:rsidRPr="005525AC" w14:paraId="4CA92B9F" w14:textId="77777777" w:rsidTr="00DD1803">
        <w:trPr>
          <w:trHeight w:val="1999"/>
        </w:trPr>
        <w:tc>
          <w:tcPr>
            <w:tcW w:w="1794" w:type="dxa"/>
            <w:hideMark/>
          </w:tcPr>
          <w:p w14:paraId="2BA6A8D8"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Naziv mjere</w:t>
            </w:r>
          </w:p>
        </w:tc>
        <w:tc>
          <w:tcPr>
            <w:tcW w:w="1683" w:type="dxa"/>
            <w:hideMark/>
          </w:tcPr>
          <w:p w14:paraId="33A82EDA"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Svrha provedbe mjere</w:t>
            </w:r>
          </w:p>
        </w:tc>
        <w:tc>
          <w:tcPr>
            <w:tcW w:w="1016" w:type="dxa"/>
            <w:hideMark/>
          </w:tcPr>
          <w:p w14:paraId="561A2681"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 xml:space="preserve">Rok provedbe  mjere </w:t>
            </w:r>
            <w:r w:rsidRPr="005525AC">
              <w:rPr>
                <w:rFonts w:ascii="Times New Roman" w:hAnsi="Times New Roman" w:cs="Times New Roman"/>
                <w:b/>
                <w:bCs/>
                <w:sz w:val="20"/>
                <w:szCs w:val="20"/>
              </w:rPr>
              <w:br/>
              <w:t>(kvartal, godina)</w:t>
            </w:r>
          </w:p>
        </w:tc>
        <w:tc>
          <w:tcPr>
            <w:tcW w:w="1739" w:type="dxa"/>
            <w:hideMark/>
          </w:tcPr>
          <w:p w14:paraId="4443FD60"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Pokazatelj rezultata mjere</w:t>
            </w:r>
          </w:p>
        </w:tc>
        <w:tc>
          <w:tcPr>
            <w:tcW w:w="994" w:type="dxa"/>
            <w:hideMark/>
          </w:tcPr>
          <w:p w14:paraId="7F5C35E5"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 xml:space="preserve">Nadležnost za provedbu </w:t>
            </w:r>
          </w:p>
        </w:tc>
        <w:tc>
          <w:tcPr>
            <w:tcW w:w="1261" w:type="dxa"/>
            <w:hideMark/>
          </w:tcPr>
          <w:p w14:paraId="0F8C9339"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Procijenjeni trošak</w:t>
            </w:r>
            <w:r w:rsidRPr="005525AC">
              <w:rPr>
                <w:rFonts w:ascii="Times New Roman" w:hAnsi="Times New Roman" w:cs="Times New Roman"/>
                <w:b/>
                <w:bCs/>
                <w:sz w:val="20"/>
                <w:szCs w:val="20"/>
              </w:rPr>
              <w:br/>
              <w:t>provedbe mjere u 2022. godini</w:t>
            </w:r>
          </w:p>
        </w:tc>
        <w:tc>
          <w:tcPr>
            <w:tcW w:w="1261" w:type="dxa"/>
            <w:hideMark/>
          </w:tcPr>
          <w:p w14:paraId="1EF89D18"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Procijenjeni trošak</w:t>
            </w:r>
            <w:r w:rsidRPr="005525AC">
              <w:rPr>
                <w:rFonts w:ascii="Times New Roman" w:hAnsi="Times New Roman" w:cs="Times New Roman"/>
                <w:b/>
                <w:bCs/>
                <w:sz w:val="20"/>
                <w:szCs w:val="20"/>
              </w:rPr>
              <w:br/>
              <w:t>provedbe mjere  u 2023. godini</w:t>
            </w:r>
          </w:p>
        </w:tc>
        <w:tc>
          <w:tcPr>
            <w:tcW w:w="1261" w:type="dxa"/>
            <w:hideMark/>
          </w:tcPr>
          <w:p w14:paraId="42AF5BB7" w14:textId="77777777" w:rsidR="005525AC" w:rsidRPr="005525AC" w:rsidRDefault="005525AC" w:rsidP="005525AC">
            <w:pPr>
              <w:rPr>
                <w:rFonts w:ascii="Times New Roman" w:hAnsi="Times New Roman" w:cs="Times New Roman"/>
                <w:b/>
                <w:bCs/>
                <w:sz w:val="20"/>
                <w:szCs w:val="20"/>
              </w:rPr>
            </w:pPr>
            <w:r w:rsidRPr="005525AC">
              <w:rPr>
                <w:rFonts w:ascii="Times New Roman" w:hAnsi="Times New Roman" w:cs="Times New Roman"/>
                <w:b/>
                <w:bCs/>
                <w:sz w:val="20"/>
                <w:szCs w:val="20"/>
              </w:rPr>
              <w:t>Procijenjeni trošak</w:t>
            </w:r>
            <w:r w:rsidRPr="005525AC">
              <w:rPr>
                <w:rFonts w:ascii="Times New Roman" w:hAnsi="Times New Roman" w:cs="Times New Roman"/>
                <w:b/>
                <w:bCs/>
                <w:sz w:val="20"/>
                <w:szCs w:val="20"/>
              </w:rPr>
              <w:br/>
              <w:t>provedbe mjere  u 2024. godine</w:t>
            </w:r>
          </w:p>
        </w:tc>
        <w:tc>
          <w:tcPr>
            <w:tcW w:w="1177" w:type="dxa"/>
            <w:hideMark/>
          </w:tcPr>
          <w:p w14:paraId="5C5E4595" w14:textId="71576003" w:rsidR="005525AC" w:rsidRPr="00DD1803" w:rsidRDefault="005525AC" w:rsidP="005525AC">
            <w:pPr>
              <w:rPr>
                <w:rFonts w:ascii="Times New Roman" w:hAnsi="Times New Roman" w:cs="Times New Roman"/>
                <w:b/>
                <w:sz w:val="20"/>
                <w:szCs w:val="20"/>
              </w:rPr>
            </w:pPr>
            <w:r w:rsidRPr="00DD1803">
              <w:rPr>
                <w:rFonts w:ascii="Times New Roman" w:hAnsi="Times New Roman" w:cs="Times New Roman"/>
                <w:b/>
                <w:sz w:val="20"/>
                <w:szCs w:val="20"/>
              </w:rPr>
              <w:t>UKUPNO trošak provedbe u razdoblju provedbe Akcijskog plana 2022.-2024. godine</w:t>
            </w:r>
          </w:p>
        </w:tc>
        <w:tc>
          <w:tcPr>
            <w:tcW w:w="1156" w:type="dxa"/>
            <w:hideMark/>
          </w:tcPr>
          <w:p w14:paraId="27A0579F" w14:textId="146ED75B" w:rsidR="005525AC" w:rsidRPr="005525AC" w:rsidRDefault="005525AC" w:rsidP="00DD1803">
            <w:pPr>
              <w:rPr>
                <w:rFonts w:ascii="Times New Roman" w:hAnsi="Times New Roman" w:cs="Times New Roman"/>
                <w:b/>
                <w:bCs/>
                <w:sz w:val="20"/>
                <w:szCs w:val="20"/>
              </w:rPr>
            </w:pPr>
            <w:r w:rsidRPr="005525AC">
              <w:rPr>
                <w:rFonts w:ascii="Times New Roman" w:hAnsi="Times New Roman" w:cs="Times New Roman"/>
                <w:b/>
                <w:bCs/>
                <w:sz w:val="20"/>
                <w:szCs w:val="20"/>
              </w:rPr>
              <w:t>Ukupan procijenjeni trošak</w:t>
            </w:r>
            <w:r w:rsidR="00DD1803">
              <w:rPr>
                <w:rFonts w:ascii="Times New Roman" w:hAnsi="Times New Roman" w:cs="Times New Roman"/>
                <w:b/>
                <w:bCs/>
                <w:sz w:val="20"/>
                <w:szCs w:val="20"/>
              </w:rPr>
              <w:t xml:space="preserve"> </w:t>
            </w:r>
            <w:r w:rsidRPr="005525AC">
              <w:rPr>
                <w:rFonts w:ascii="Times New Roman" w:hAnsi="Times New Roman" w:cs="Times New Roman"/>
                <w:b/>
                <w:bCs/>
                <w:sz w:val="20"/>
                <w:szCs w:val="20"/>
              </w:rPr>
              <w:t>provedbe mjere u razdoblju trajanja Nacionalnog plana (2022.- 2027. godine)</w:t>
            </w:r>
          </w:p>
        </w:tc>
        <w:tc>
          <w:tcPr>
            <w:tcW w:w="1679" w:type="dxa"/>
            <w:hideMark/>
          </w:tcPr>
          <w:p w14:paraId="4D4E3738" w14:textId="77777777" w:rsidR="005525AC" w:rsidRPr="005525AC" w:rsidRDefault="005525AC" w:rsidP="00DD1803">
            <w:pPr>
              <w:rPr>
                <w:rFonts w:ascii="Times New Roman" w:hAnsi="Times New Roman" w:cs="Times New Roman"/>
                <w:b/>
                <w:bCs/>
                <w:sz w:val="20"/>
                <w:szCs w:val="20"/>
              </w:rPr>
            </w:pPr>
            <w:r w:rsidRPr="005525AC">
              <w:rPr>
                <w:rFonts w:ascii="Times New Roman" w:hAnsi="Times New Roman" w:cs="Times New Roman"/>
                <w:b/>
                <w:bCs/>
                <w:sz w:val="20"/>
                <w:szCs w:val="20"/>
              </w:rPr>
              <w:t>Planirani izvor financiranja  u Državnom proračunu (proračunska aktivnost je navedena ukoliko je izvor financiranja DPRH)</w:t>
            </w:r>
          </w:p>
        </w:tc>
      </w:tr>
      <w:tr w:rsidR="005525AC" w:rsidRPr="005525AC" w14:paraId="54F69703" w14:textId="77777777" w:rsidTr="00DD1803">
        <w:trPr>
          <w:trHeight w:val="2535"/>
        </w:trPr>
        <w:tc>
          <w:tcPr>
            <w:tcW w:w="1794" w:type="dxa"/>
            <w:hideMark/>
          </w:tcPr>
          <w:p w14:paraId="10FB4928"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xml:space="preserve">Uvođenje sustava upravljanja kvalitetom u javnu upravu RH  </w:t>
            </w:r>
          </w:p>
        </w:tc>
        <w:tc>
          <w:tcPr>
            <w:tcW w:w="1683" w:type="dxa"/>
            <w:hideMark/>
          </w:tcPr>
          <w:p w14:paraId="13324792"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 xml:space="preserve">Povećanje učinkovitosti javne uprave optimizacijom i standardizacijom poslovnih procesa i uvođenjem sustava upravljanja kvalitetom u javnu upravu. Aktivnosti predviđene za ostvarenje tog cilja jesu razviti mehanizme i alate za osiguravanje kvalitete kojima će se opseg i kvaliteta usluga koje pruža javna uprava uskladiti sa stvarnim potrebama </w:t>
            </w:r>
            <w:r w:rsidRPr="00A35106">
              <w:rPr>
                <w:rFonts w:ascii="Times New Roman" w:hAnsi="Times New Roman" w:cs="Times New Roman"/>
                <w:bCs/>
                <w:sz w:val="20"/>
                <w:szCs w:val="20"/>
              </w:rPr>
              <w:lastRenderedPageBreak/>
              <w:t>korisnika, izgraditi IT sustav za potporu upravljanju sustavom kvalitete u javnoj upravi te razviti kompetencije zaposlenika javne uprave za upravljanje kvalitetom.</w:t>
            </w:r>
          </w:p>
        </w:tc>
        <w:tc>
          <w:tcPr>
            <w:tcW w:w="1016" w:type="dxa"/>
            <w:hideMark/>
          </w:tcPr>
          <w:p w14:paraId="0AF05CD2"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lastRenderedPageBreak/>
              <w:t>2Q/2023.</w:t>
            </w:r>
          </w:p>
        </w:tc>
        <w:tc>
          <w:tcPr>
            <w:tcW w:w="1739" w:type="dxa"/>
            <w:hideMark/>
          </w:tcPr>
          <w:p w14:paraId="4225A148"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1. Uveden sustav upravljanja kvalitetom u 118 tijelo javne uprave</w:t>
            </w:r>
            <w:r w:rsidRPr="00A35106">
              <w:rPr>
                <w:rFonts w:ascii="Times New Roman" w:hAnsi="Times New Roman" w:cs="Times New Roman"/>
                <w:bCs/>
                <w:sz w:val="20"/>
                <w:szCs w:val="20"/>
              </w:rPr>
              <w:br/>
              <w:t>2. Izvršena izobrazba 600 službenika iz 118 tijela javne uprave</w:t>
            </w:r>
          </w:p>
        </w:tc>
        <w:tc>
          <w:tcPr>
            <w:tcW w:w="994" w:type="dxa"/>
            <w:hideMark/>
          </w:tcPr>
          <w:p w14:paraId="38A91B74"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MPU (za aktivnost 1. u suradnji s DŠJU)</w:t>
            </w:r>
          </w:p>
        </w:tc>
        <w:tc>
          <w:tcPr>
            <w:tcW w:w="1261" w:type="dxa"/>
            <w:hideMark/>
          </w:tcPr>
          <w:p w14:paraId="4A8EF1E1"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5.277.000 kn</w:t>
            </w:r>
          </w:p>
        </w:tc>
        <w:tc>
          <w:tcPr>
            <w:tcW w:w="1261" w:type="dxa"/>
            <w:hideMark/>
          </w:tcPr>
          <w:p w14:paraId="68E21C2D"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486.725 kn</w:t>
            </w:r>
          </w:p>
        </w:tc>
        <w:tc>
          <w:tcPr>
            <w:tcW w:w="1261" w:type="dxa"/>
            <w:hideMark/>
          </w:tcPr>
          <w:p w14:paraId="455FE993"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0 kn</w:t>
            </w:r>
          </w:p>
        </w:tc>
        <w:tc>
          <w:tcPr>
            <w:tcW w:w="1177" w:type="dxa"/>
            <w:hideMark/>
          </w:tcPr>
          <w:p w14:paraId="0B909694"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5.763.725 kn</w:t>
            </w:r>
          </w:p>
        </w:tc>
        <w:tc>
          <w:tcPr>
            <w:tcW w:w="1156" w:type="dxa"/>
            <w:hideMark/>
          </w:tcPr>
          <w:p w14:paraId="44ED6E01"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5.763.725 kn</w:t>
            </w:r>
          </w:p>
        </w:tc>
        <w:tc>
          <w:tcPr>
            <w:tcW w:w="1679" w:type="dxa"/>
            <w:hideMark/>
          </w:tcPr>
          <w:p w14:paraId="63A1E5B7" w14:textId="77777777" w:rsidR="005525AC" w:rsidRPr="00A35106" w:rsidRDefault="005525AC">
            <w:pPr>
              <w:rPr>
                <w:rFonts w:ascii="Times New Roman" w:hAnsi="Times New Roman" w:cs="Times New Roman"/>
                <w:bCs/>
                <w:sz w:val="20"/>
                <w:szCs w:val="20"/>
              </w:rPr>
            </w:pPr>
            <w:r w:rsidRPr="00A35106">
              <w:rPr>
                <w:rFonts w:ascii="Times New Roman" w:hAnsi="Times New Roman" w:cs="Times New Roman"/>
                <w:bCs/>
                <w:sz w:val="20"/>
                <w:szCs w:val="20"/>
              </w:rPr>
              <w:t>K544087.006 Uvođenje sustava upravljanja kvalitetom u javnu upravu RH -  561 Europski socijalni fond (ESF) 85% i 12 Sredstva učešća za pomoći 15%</w:t>
            </w:r>
          </w:p>
        </w:tc>
      </w:tr>
      <w:tr w:rsidR="005525AC" w:rsidRPr="005525AC" w14:paraId="3A9890CB" w14:textId="77777777" w:rsidTr="00DD1803">
        <w:trPr>
          <w:trHeight w:val="2460"/>
        </w:trPr>
        <w:tc>
          <w:tcPr>
            <w:tcW w:w="1794" w:type="dxa"/>
            <w:hideMark/>
          </w:tcPr>
          <w:p w14:paraId="130C3FC2"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Pojednostavnjenje</w:t>
            </w:r>
            <w:r w:rsidRPr="005525AC">
              <w:rPr>
                <w:rFonts w:ascii="Times New Roman" w:hAnsi="Times New Roman" w:cs="Times New Roman"/>
                <w:b/>
                <w:bCs/>
                <w:sz w:val="20"/>
                <w:szCs w:val="20"/>
              </w:rPr>
              <w:br/>
              <w:t>postupaka radi</w:t>
            </w:r>
            <w:r w:rsidRPr="005525AC">
              <w:rPr>
                <w:rFonts w:ascii="Times New Roman" w:hAnsi="Times New Roman" w:cs="Times New Roman"/>
                <w:b/>
                <w:bCs/>
                <w:sz w:val="20"/>
                <w:szCs w:val="20"/>
              </w:rPr>
              <w:br/>
              <w:t>smanjenja administrativnog</w:t>
            </w:r>
            <w:r w:rsidRPr="005525AC">
              <w:rPr>
                <w:rFonts w:ascii="Times New Roman" w:hAnsi="Times New Roman" w:cs="Times New Roman"/>
                <w:b/>
                <w:bCs/>
                <w:sz w:val="20"/>
                <w:szCs w:val="20"/>
              </w:rPr>
              <w:br/>
              <w:t>opterećenja koje izravno</w:t>
            </w:r>
            <w:r w:rsidRPr="005525AC">
              <w:rPr>
                <w:rFonts w:ascii="Times New Roman" w:hAnsi="Times New Roman" w:cs="Times New Roman"/>
                <w:b/>
                <w:bCs/>
                <w:sz w:val="20"/>
                <w:szCs w:val="20"/>
              </w:rPr>
              <w:br/>
              <w:t>utječe na građane - C2.1. R1</w:t>
            </w:r>
          </w:p>
        </w:tc>
        <w:tc>
          <w:tcPr>
            <w:tcW w:w="1683" w:type="dxa"/>
            <w:hideMark/>
          </w:tcPr>
          <w:p w14:paraId="57F6BE02" w14:textId="5B7DDC6A"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Pojednostavnjenje postupaka i digitalizacija radi</w:t>
            </w:r>
            <w:r w:rsidR="00DD1803">
              <w:rPr>
                <w:rFonts w:ascii="Times New Roman" w:hAnsi="Times New Roman" w:cs="Times New Roman"/>
                <w:sz w:val="20"/>
                <w:szCs w:val="20"/>
              </w:rPr>
              <w:t xml:space="preserve"> </w:t>
            </w:r>
            <w:r w:rsidRPr="005525AC">
              <w:rPr>
                <w:rFonts w:ascii="Times New Roman" w:hAnsi="Times New Roman" w:cs="Times New Roman"/>
                <w:sz w:val="20"/>
                <w:szCs w:val="20"/>
              </w:rPr>
              <w:t>postizanja 20 %-tnog smanjenja administrativnog</w:t>
            </w:r>
            <w:r w:rsidR="00DD1803">
              <w:rPr>
                <w:rFonts w:ascii="Times New Roman" w:hAnsi="Times New Roman" w:cs="Times New Roman"/>
                <w:sz w:val="20"/>
                <w:szCs w:val="20"/>
              </w:rPr>
              <w:t xml:space="preserve"> </w:t>
            </w:r>
            <w:r w:rsidRPr="005525AC">
              <w:rPr>
                <w:rFonts w:ascii="Times New Roman" w:hAnsi="Times New Roman" w:cs="Times New Roman"/>
                <w:sz w:val="20"/>
                <w:szCs w:val="20"/>
              </w:rPr>
              <w:t>opterećenja za građane (u odnosu na 2022.), primjenom metodologije standardnog modela troškova (SCM) na one</w:t>
            </w:r>
            <w:r w:rsidRPr="005525AC">
              <w:rPr>
                <w:rFonts w:ascii="Times New Roman" w:hAnsi="Times New Roman" w:cs="Times New Roman"/>
                <w:sz w:val="20"/>
                <w:szCs w:val="20"/>
              </w:rPr>
              <w:br/>
              <w:t>administrativne postupke koji izravno utječu na</w:t>
            </w:r>
            <w:r w:rsidR="00DD1803">
              <w:rPr>
                <w:rFonts w:ascii="Times New Roman" w:hAnsi="Times New Roman" w:cs="Times New Roman"/>
                <w:sz w:val="20"/>
                <w:szCs w:val="20"/>
              </w:rPr>
              <w:t xml:space="preserve"> </w:t>
            </w:r>
            <w:r w:rsidRPr="005525AC">
              <w:rPr>
                <w:rFonts w:ascii="Times New Roman" w:hAnsi="Times New Roman" w:cs="Times New Roman"/>
                <w:sz w:val="20"/>
                <w:szCs w:val="20"/>
              </w:rPr>
              <w:t xml:space="preserve">građane. </w:t>
            </w:r>
          </w:p>
        </w:tc>
        <w:tc>
          <w:tcPr>
            <w:tcW w:w="1016" w:type="dxa"/>
            <w:hideMark/>
          </w:tcPr>
          <w:p w14:paraId="2FE425F9"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4Q/2025.</w:t>
            </w:r>
          </w:p>
        </w:tc>
        <w:tc>
          <w:tcPr>
            <w:tcW w:w="1739" w:type="dxa"/>
            <w:hideMark/>
          </w:tcPr>
          <w:p w14:paraId="5E9193BA" w14:textId="5F8B7BD8"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 xml:space="preserve">Ukupno smanjenje administrativnog opterećenja građana za najmanje 20% za korištenjem </w:t>
            </w:r>
            <w:r w:rsidR="007D4156" w:rsidRPr="005525AC">
              <w:rPr>
                <w:rFonts w:ascii="Times New Roman" w:hAnsi="Times New Roman" w:cs="Times New Roman"/>
                <w:sz w:val="20"/>
                <w:szCs w:val="20"/>
              </w:rPr>
              <w:t>metodologije</w:t>
            </w:r>
            <w:r w:rsidRPr="005525AC">
              <w:rPr>
                <w:rFonts w:ascii="Times New Roman" w:hAnsi="Times New Roman" w:cs="Times New Roman"/>
                <w:sz w:val="20"/>
                <w:szCs w:val="20"/>
              </w:rPr>
              <w:t xml:space="preserve"> za optimizaciju i </w:t>
            </w:r>
            <w:r w:rsidR="007D4156" w:rsidRPr="005525AC">
              <w:rPr>
                <w:rFonts w:ascii="Times New Roman" w:hAnsi="Times New Roman" w:cs="Times New Roman"/>
                <w:sz w:val="20"/>
                <w:szCs w:val="20"/>
              </w:rPr>
              <w:t>standardizaciju</w:t>
            </w:r>
            <w:r w:rsidRPr="005525AC">
              <w:rPr>
                <w:rFonts w:ascii="Times New Roman" w:hAnsi="Times New Roman" w:cs="Times New Roman"/>
                <w:sz w:val="20"/>
                <w:szCs w:val="20"/>
              </w:rPr>
              <w:t xml:space="preserve"> procesa u javnoj upravi i SCM metodologiju (u odnosu na ukupno administrativno opterećenje u 2019.g.)</w:t>
            </w:r>
          </w:p>
        </w:tc>
        <w:tc>
          <w:tcPr>
            <w:tcW w:w="994" w:type="dxa"/>
            <w:hideMark/>
          </w:tcPr>
          <w:p w14:paraId="11DD3159"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MPU, u suradnji s MGOR i SDURRD-om</w:t>
            </w:r>
          </w:p>
        </w:tc>
        <w:tc>
          <w:tcPr>
            <w:tcW w:w="1261" w:type="dxa"/>
            <w:hideMark/>
          </w:tcPr>
          <w:p w14:paraId="6DBAD096"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261" w:type="dxa"/>
            <w:hideMark/>
          </w:tcPr>
          <w:p w14:paraId="32E0FF9B"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261" w:type="dxa"/>
            <w:hideMark/>
          </w:tcPr>
          <w:p w14:paraId="7CBAB38C"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177" w:type="dxa"/>
            <w:hideMark/>
          </w:tcPr>
          <w:p w14:paraId="218704B0"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156" w:type="dxa"/>
            <w:hideMark/>
          </w:tcPr>
          <w:p w14:paraId="53CB8D1B"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679" w:type="dxa"/>
            <w:hideMark/>
          </w:tcPr>
          <w:p w14:paraId="42F1355A"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op. Financira EU iz Instrumenta za tehničku potporu, u suradnji s Glavnom upravom za potporu strukturnim reformama Europske komisije = 3.750.000kn</w:t>
            </w:r>
          </w:p>
        </w:tc>
      </w:tr>
      <w:tr w:rsidR="005525AC" w:rsidRPr="005525AC" w14:paraId="67FD32BA" w14:textId="77777777" w:rsidTr="00DD1803">
        <w:trPr>
          <w:trHeight w:val="1982"/>
        </w:trPr>
        <w:tc>
          <w:tcPr>
            <w:tcW w:w="1794" w:type="dxa"/>
            <w:hideMark/>
          </w:tcPr>
          <w:p w14:paraId="09F78016"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xml:space="preserve">Daljnje unapređenje praćenja upravnog postupanja i odlučivanja </w:t>
            </w:r>
          </w:p>
        </w:tc>
        <w:tc>
          <w:tcPr>
            <w:tcW w:w="1683" w:type="dxa"/>
            <w:hideMark/>
          </w:tcPr>
          <w:p w14:paraId="76F97247"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 xml:space="preserve">Unaprijediti praćenje upravnog postupanja i odlučivanja u javnoj upravi nadogradnjom postojećeg informacijskog sustava za praćenje i nadzor upravnog postupanja (dalje </w:t>
            </w:r>
            <w:r w:rsidRPr="005525AC">
              <w:rPr>
                <w:rFonts w:ascii="Times New Roman" w:hAnsi="Times New Roman" w:cs="Times New Roman"/>
                <w:sz w:val="20"/>
                <w:szCs w:val="20"/>
              </w:rPr>
              <w:lastRenderedPageBreak/>
              <w:t xml:space="preserve">u tekstu: ZUP IT sustav), povećanjem broja korisnika te unapređenjem znanja i vještina državnih i javnih službenika za rad u ZUP IT ustavu, a radi daljnje optimizacije upravnog postupanja u interesu građana. Provedbom aktivnosti razvit će se i funkcionalnost koja će fizičkim i pravnim osobama, strankama u upravnim postupcima, omogućiti praćenje statusa njihovih predmeta dostavom informacija o određenim stadijima upravnog postupka u korisničke pretince građana povezivanjem ZUP IT sustava sa sustavom e-Građani.        </w:t>
            </w:r>
          </w:p>
        </w:tc>
        <w:tc>
          <w:tcPr>
            <w:tcW w:w="1016" w:type="dxa"/>
            <w:noWrap/>
            <w:hideMark/>
          </w:tcPr>
          <w:p w14:paraId="5AA20707"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lastRenderedPageBreak/>
              <w:t>1Q/2023.</w:t>
            </w:r>
          </w:p>
        </w:tc>
        <w:tc>
          <w:tcPr>
            <w:tcW w:w="1739" w:type="dxa"/>
            <w:hideMark/>
          </w:tcPr>
          <w:p w14:paraId="14F46D7D" w14:textId="2AD6D483"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 xml:space="preserve">1. ZUP IT sustav unaprijeđen sukladno projektnim aktivnostima                                </w:t>
            </w:r>
            <w:r w:rsidRPr="005525AC">
              <w:rPr>
                <w:rFonts w:ascii="Times New Roman" w:hAnsi="Times New Roman" w:cs="Times New Roman"/>
                <w:sz w:val="20"/>
                <w:szCs w:val="20"/>
              </w:rPr>
              <w:br/>
              <w:t xml:space="preserve">2. Razvijena funkcionalnost dostave podataka o određenim stadijima upravnog postupka u korisničke </w:t>
            </w:r>
            <w:r w:rsidRPr="005525AC">
              <w:rPr>
                <w:rFonts w:ascii="Times New Roman" w:hAnsi="Times New Roman" w:cs="Times New Roman"/>
                <w:sz w:val="20"/>
                <w:szCs w:val="20"/>
              </w:rPr>
              <w:lastRenderedPageBreak/>
              <w:t xml:space="preserve">pretince građana      </w:t>
            </w:r>
            <w:r w:rsidRPr="005525AC">
              <w:rPr>
                <w:rFonts w:ascii="Times New Roman" w:hAnsi="Times New Roman" w:cs="Times New Roman"/>
                <w:sz w:val="20"/>
                <w:szCs w:val="20"/>
              </w:rPr>
              <w:br/>
              <w:t>3. Provedene edukacije u skladu s projekt</w:t>
            </w:r>
            <w:r w:rsidR="007D4156">
              <w:rPr>
                <w:rFonts w:ascii="Times New Roman" w:hAnsi="Times New Roman" w:cs="Times New Roman"/>
                <w:sz w:val="20"/>
                <w:szCs w:val="20"/>
              </w:rPr>
              <w:t>nim</w:t>
            </w:r>
            <w:r w:rsidRPr="005525AC">
              <w:rPr>
                <w:rFonts w:ascii="Times New Roman" w:hAnsi="Times New Roman" w:cs="Times New Roman"/>
                <w:sz w:val="20"/>
                <w:szCs w:val="20"/>
              </w:rPr>
              <w:t xml:space="preserve"> aktivnostima (1100 službenika - 100 administratora i 1000 službenih osoba; 3900 službenika educirano samostalno putem e-učenja).</w:t>
            </w:r>
          </w:p>
        </w:tc>
        <w:tc>
          <w:tcPr>
            <w:tcW w:w="994" w:type="dxa"/>
            <w:noWrap/>
            <w:hideMark/>
          </w:tcPr>
          <w:p w14:paraId="00191501"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lastRenderedPageBreak/>
              <w:t>MPU</w:t>
            </w:r>
          </w:p>
        </w:tc>
        <w:tc>
          <w:tcPr>
            <w:tcW w:w="1261" w:type="dxa"/>
            <w:noWrap/>
            <w:hideMark/>
          </w:tcPr>
          <w:p w14:paraId="5D476A81"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1.481.700 kn</w:t>
            </w:r>
          </w:p>
        </w:tc>
        <w:tc>
          <w:tcPr>
            <w:tcW w:w="1261" w:type="dxa"/>
            <w:noWrap/>
            <w:hideMark/>
          </w:tcPr>
          <w:p w14:paraId="17CDB7F9"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1.262.400 kn</w:t>
            </w:r>
          </w:p>
        </w:tc>
        <w:tc>
          <w:tcPr>
            <w:tcW w:w="1261" w:type="dxa"/>
            <w:noWrap/>
            <w:hideMark/>
          </w:tcPr>
          <w:p w14:paraId="4A179C28"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0 kn</w:t>
            </w:r>
          </w:p>
        </w:tc>
        <w:tc>
          <w:tcPr>
            <w:tcW w:w="1177" w:type="dxa"/>
            <w:hideMark/>
          </w:tcPr>
          <w:p w14:paraId="06CE7610"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2.744.100 kn</w:t>
            </w:r>
          </w:p>
        </w:tc>
        <w:tc>
          <w:tcPr>
            <w:tcW w:w="1156" w:type="dxa"/>
            <w:hideMark/>
          </w:tcPr>
          <w:p w14:paraId="3993FAE3"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2.744.100 kn</w:t>
            </w:r>
          </w:p>
        </w:tc>
        <w:tc>
          <w:tcPr>
            <w:tcW w:w="1679" w:type="dxa"/>
            <w:hideMark/>
          </w:tcPr>
          <w:p w14:paraId="7D0C9D58" w14:textId="77777777" w:rsidR="005525AC" w:rsidRPr="005525AC" w:rsidRDefault="005525AC">
            <w:pPr>
              <w:rPr>
                <w:rFonts w:ascii="Times New Roman" w:hAnsi="Times New Roman" w:cs="Times New Roman"/>
                <w:sz w:val="20"/>
                <w:szCs w:val="20"/>
              </w:rPr>
            </w:pPr>
            <w:r w:rsidRPr="005525AC">
              <w:rPr>
                <w:rFonts w:ascii="Times New Roman" w:hAnsi="Times New Roman" w:cs="Times New Roman"/>
                <w:sz w:val="20"/>
                <w:szCs w:val="20"/>
              </w:rPr>
              <w:t>K544087.009 Daljnje unapređenje praćenja upravnog postupanja i odlučivanja-   561 Europski socijalni fond (ESF) 85% i 12 Sredstva učešća za pomoći 15%</w:t>
            </w:r>
          </w:p>
        </w:tc>
      </w:tr>
      <w:tr w:rsidR="005525AC" w:rsidRPr="005525AC" w14:paraId="25001DF6" w14:textId="77777777" w:rsidTr="00DD1803">
        <w:trPr>
          <w:trHeight w:val="840"/>
        </w:trPr>
        <w:tc>
          <w:tcPr>
            <w:tcW w:w="1794" w:type="dxa"/>
            <w:hideMark/>
          </w:tcPr>
          <w:p w14:paraId="778FE9DA"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w:t>
            </w:r>
          </w:p>
        </w:tc>
        <w:tc>
          <w:tcPr>
            <w:tcW w:w="1683" w:type="dxa"/>
            <w:hideMark/>
          </w:tcPr>
          <w:p w14:paraId="670B39B1"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w:t>
            </w:r>
          </w:p>
        </w:tc>
        <w:tc>
          <w:tcPr>
            <w:tcW w:w="1016" w:type="dxa"/>
            <w:noWrap/>
            <w:hideMark/>
          </w:tcPr>
          <w:p w14:paraId="34B131EA"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w:t>
            </w:r>
          </w:p>
        </w:tc>
        <w:tc>
          <w:tcPr>
            <w:tcW w:w="1739" w:type="dxa"/>
            <w:hideMark/>
          </w:tcPr>
          <w:p w14:paraId="0CD4A618" w14:textId="615D81A4" w:rsidR="005525AC" w:rsidRPr="005525AC" w:rsidRDefault="005525AC" w:rsidP="00DD1803">
            <w:pPr>
              <w:jc w:val="center"/>
              <w:rPr>
                <w:rFonts w:ascii="Times New Roman" w:hAnsi="Times New Roman" w:cs="Times New Roman"/>
                <w:b/>
                <w:bCs/>
                <w:sz w:val="20"/>
                <w:szCs w:val="20"/>
              </w:rPr>
            </w:pPr>
            <w:r w:rsidRPr="005525AC">
              <w:rPr>
                <w:rFonts w:ascii="Times New Roman" w:hAnsi="Times New Roman" w:cs="Times New Roman"/>
                <w:b/>
                <w:bCs/>
                <w:sz w:val="20"/>
                <w:szCs w:val="20"/>
              </w:rPr>
              <w:t>UKUPNO, trošak provedbe,  po godin</w:t>
            </w:r>
            <w:r>
              <w:rPr>
                <w:rFonts w:ascii="Times New Roman" w:hAnsi="Times New Roman" w:cs="Times New Roman"/>
                <w:b/>
                <w:bCs/>
                <w:sz w:val="20"/>
                <w:szCs w:val="20"/>
              </w:rPr>
              <w:t>ama</w:t>
            </w:r>
          </w:p>
        </w:tc>
        <w:tc>
          <w:tcPr>
            <w:tcW w:w="994" w:type="dxa"/>
            <w:noWrap/>
            <w:hideMark/>
          </w:tcPr>
          <w:p w14:paraId="54F49027"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w:t>
            </w:r>
          </w:p>
        </w:tc>
        <w:tc>
          <w:tcPr>
            <w:tcW w:w="1261" w:type="dxa"/>
            <w:noWrap/>
            <w:hideMark/>
          </w:tcPr>
          <w:p w14:paraId="454B132A"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6.758.700 kn</w:t>
            </w:r>
          </w:p>
        </w:tc>
        <w:tc>
          <w:tcPr>
            <w:tcW w:w="1261" w:type="dxa"/>
            <w:noWrap/>
            <w:hideMark/>
          </w:tcPr>
          <w:p w14:paraId="6C2B1AC8"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1.749.125 kn</w:t>
            </w:r>
          </w:p>
        </w:tc>
        <w:tc>
          <w:tcPr>
            <w:tcW w:w="1261" w:type="dxa"/>
            <w:noWrap/>
            <w:hideMark/>
          </w:tcPr>
          <w:p w14:paraId="4CAF5368"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0 kn</w:t>
            </w:r>
          </w:p>
        </w:tc>
        <w:tc>
          <w:tcPr>
            <w:tcW w:w="1177" w:type="dxa"/>
            <w:noWrap/>
            <w:hideMark/>
          </w:tcPr>
          <w:p w14:paraId="7D1F9438"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8.507.825 kn</w:t>
            </w:r>
          </w:p>
        </w:tc>
        <w:tc>
          <w:tcPr>
            <w:tcW w:w="1156" w:type="dxa"/>
            <w:noWrap/>
            <w:hideMark/>
          </w:tcPr>
          <w:p w14:paraId="3F862793"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8.507.825 kn</w:t>
            </w:r>
          </w:p>
        </w:tc>
        <w:tc>
          <w:tcPr>
            <w:tcW w:w="1679" w:type="dxa"/>
            <w:noWrap/>
            <w:hideMark/>
          </w:tcPr>
          <w:p w14:paraId="18A8F65D" w14:textId="77777777" w:rsidR="005525AC" w:rsidRPr="005525AC" w:rsidRDefault="005525AC">
            <w:pPr>
              <w:rPr>
                <w:rFonts w:ascii="Times New Roman" w:hAnsi="Times New Roman" w:cs="Times New Roman"/>
                <w:b/>
                <w:bCs/>
                <w:sz w:val="20"/>
                <w:szCs w:val="20"/>
              </w:rPr>
            </w:pPr>
            <w:r w:rsidRPr="005525AC">
              <w:rPr>
                <w:rFonts w:ascii="Times New Roman" w:hAnsi="Times New Roman" w:cs="Times New Roman"/>
                <w:b/>
                <w:bCs/>
                <w:sz w:val="20"/>
                <w:szCs w:val="20"/>
              </w:rPr>
              <w:t> </w:t>
            </w:r>
          </w:p>
        </w:tc>
      </w:tr>
    </w:tbl>
    <w:p w14:paraId="70A74994" w14:textId="0754535F" w:rsidR="007D4156" w:rsidRDefault="007D4156">
      <w:pPr>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1750"/>
        <w:gridCol w:w="1677"/>
        <w:gridCol w:w="1016"/>
        <w:gridCol w:w="2005"/>
        <w:gridCol w:w="1161"/>
        <w:gridCol w:w="1261"/>
        <w:gridCol w:w="1261"/>
        <w:gridCol w:w="1261"/>
        <w:gridCol w:w="1216"/>
        <w:gridCol w:w="1366"/>
        <w:gridCol w:w="1405"/>
      </w:tblGrid>
      <w:tr w:rsidR="007D4156" w:rsidRPr="007D4156" w14:paraId="58849881" w14:textId="77777777" w:rsidTr="007D4156">
        <w:trPr>
          <w:trHeight w:val="540"/>
        </w:trPr>
        <w:tc>
          <w:tcPr>
            <w:tcW w:w="9396" w:type="dxa"/>
            <w:gridSpan w:val="11"/>
            <w:shd w:val="clear" w:color="auto" w:fill="FFF2CC" w:themeFill="accent4" w:themeFillTint="33"/>
            <w:hideMark/>
          </w:tcPr>
          <w:p w14:paraId="4C61A1AF" w14:textId="2783BA77" w:rsidR="007D4156" w:rsidRPr="007D4156" w:rsidRDefault="007D4156" w:rsidP="007D4156">
            <w:pPr>
              <w:ind w:firstLine="708"/>
              <w:jc w:val="center"/>
              <w:rPr>
                <w:rFonts w:ascii="Times New Roman" w:hAnsi="Times New Roman" w:cs="Times New Roman"/>
                <w:b/>
                <w:bCs/>
                <w:sz w:val="24"/>
                <w:szCs w:val="24"/>
              </w:rPr>
            </w:pPr>
            <w:r w:rsidRPr="007D4156">
              <w:rPr>
                <w:rFonts w:ascii="Times New Roman" w:hAnsi="Times New Roman" w:cs="Times New Roman"/>
                <w:b/>
                <w:bCs/>
                <w:sz w:val="24"/>
                <w:szCs w:val="24"/>
              </w:rPr>
              <w:t xml:space="preserve">Popis mjera za provedbu posebnog cilja </w:t>
            </w:r>
            <w:r>
              <w:rPr>
                <w:rFonts w:ascii="Times New Roman" w:hAnsi="Times New Roman" w:cs="Times New Roman"/>
                <w:b/>
                <w:bCs/>
                <w:sz w:val="24"/>
                <w:szCs w:val="24"/>
              </w:rPr>
              <w:t>2</w:t>
            </w:r>
          </w:p>
        </w:tc>
      </w:tr>
      <w:tr w:rsidR="003127BD" w:rsidRPr="00CF387A" w14:paraId="6931EBE2" w14:textId="77777777" w:rsidTr="007D4156">
        <w:trPr>
          <w:trHeight w:val="1999"/>
        </w:trPr>
        <w:tc>
          <w:tcPr>
            <w:tcW w:w="1044" w:type="dxa"/>
            <w:hideMark/>
          </w:tcPr>
          <w:p w14:paraId="71DB7636"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Naziv mjere</w:t>
            </w:r>
          </w:p>
        </w:tc>
        <w:tc>
          <w:tcPr>
            <w:tcW w:w="995" w:type="dxa"/>
            <w:hideMark/>
          </w:tcPr>
          <w:p w14:paraId="0B52DE4C"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Svrha provedbe mjere</w:t>
            </w:r>
          </w:p>
        </w:tc>
        <w:tc>
          <w:tcPr>
            <w:tcW w:w="559" w:type="dxa"/>
            <w:hideMark/>
          </w:tcPr>
          <w:p w14:paraId="0526B3A6"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 xml:space="preserve">Rok provedbe  mjere </w:t>
            </w:r>
            <w:r w:rsidRPr="007D4156">
              <w:rPr>
                <w:rFonts w:ascii="Times New Roman" w:hAnsi="Times New Roman" w:cs="Times New Roman"/>
                <w:b/>
                <w:bCs/>
                <w:sz w:val="20"/>
                <w:szCs w:val="20"/>
              </w:rPr>
              <w:br/>
              <w:t>(kvartal, godina)</w:t>
            </w:r>
          </w:p>
        </w:tc>
        <w:tc>
          <w:tcPr>
            <w:tcW w:w="1212" w:type="dxa"/>
            <w:hideMark/>
          </w:tcPr>
          <w:p w14:paraId="38C696F6"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Pokazatelj rezultata mjere</w:t>
            </w:r>
          </w:p>
        </w:tc>
        <w:tc>
          <w:tcPr>
            <w:tcW w:w="655" w:type="dxa"/>
            <w:hideMark/>
          </w:tcPr>
          <w:p w14:paraId="359A22ED" w14:textId="4DC186F2"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Nadležnost za provedbu</w:t>
            </w:r>
          </w:p>
        </w:tc>
        <w:tc>
          <w:tcPr>
            <w:tcW w:w="856" w:type="dxa"/>
            <w:hideMark/>
          </w:tcPr>
          <w:p w14:paraId="753AA37A"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Procijenjeni trošak</w:t>
            </w:r>
            <w:r w:rsidRPr="007D4156">
              <w:rPr>
                <w:rFonts w:ascii="Times New Roman" w:hAnsi="Times New Roman" w:cs="Times New Roman"/>
                <w:b/>
                <w:bCs/>
                <w:sz w:val="20"/>
                <w:szCs w:val="20"/>
              </w:rPr>
              <w:br/>
              <w:t>provedbe mjere u 2022. godini</w:t>
            </w:r>
          </w:p>
        </w:tc>
        <w:tc>
          <w:tcPr>
            <w:tcW w:w="856" w:type="dxa"/>
            <w:hideMark/>
          </w:tcPr>
          <w:p w14:paraId="659E872A"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Procijenjeni trošak</w:t>
            </w:r>
            <w:r w:rsidRPr="007D4156">
              <w:rPr>
                <w:rFonts w:ascii="Times New Roman" w:hAnsi="Times New Roman" w:cs="Times New Roman"/>
                <w:b/>
                <w:bCs/>
                <w:sz w:val="20"/>
                <w:szCs w:val="20"/>
              </w:rPr>
              <w:br/>
              <w:t>provedbe mjere  u 2023. godini</w:t>
            </w:r>
          </w:p>
        </w:tc>
        <w:tc>
          <w:tcPr>
            <w:tcW w:w="856" w:type="dxa"/>
            <w:hideMark/>
          </w:tcPr>
          <w:p w14:paraId="0DB43C3D"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Procijenjeni trošak</w:t>
            </w:r>
            <w:r w:rsidRPr="007D4156">
              <w:rPr>
                <w:rFonts w:ascii="Times New Roman" w:hAnsi="Times New Roman" w:cs="Times New Roman"/>
                <w:b/>
                <w:bCs/>
                <w:sz w:val="20"/>
                <w:szCs w:val="20"/>
              </w:rPr>
              <w:br/>
              <w:t>provedbe mjere  u 2024. godine</w:t>
            </w:r>
          </w:p>
        </w:tc>
        <w:tc>
          <w:tcPr>
            <w:tcW w:w="691" w:type="dxa"/>
            <w:hideMark/>
          </w:tcPr>
          <w:p w14:paraId="5677ABCD"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 xml:space="preserve">UKUPNO </w:t>
            </w:r>
            <w:r w:rsidRPr="007D4156">
              <w:rPr>
                <w:rFonts w:ascii="Times New Roman" w:hAnsi="Times New Roman" w:cs="Times New Roman"/>
                <w:b/>
                <w:bCs/>
                <w:sz w:val="20"/>
                <w:szCs w:val="20"/>
              </w:rPr>
              <w:br/>
              <w:t>trošak provedbe u razdoblju provedbe Akcijskog plana 2022.-2024. godine</w:t>
            </w:r>
          </w:p>
        </w:tc>
        <w:tc>
          <w:tcPr>
            <w:tcW w:w="856" w:type="dxa"/>
            <w:hideMark/>
          </w:tcPr>
          <w:p w14:paraId="4806C7CA"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Ukupan procijenjeni trošak</w:t>
            </w:r>
            <w:r w:rsidRPr="007D4156">
              <w:rPr>
                <w:rFonts w:ascii="Times New Roman" w:hAnsi="Times New Roman" w:cs="Times New Roman"/>
                <w:b/>
                <w:bCs/>
                <w:sz w:val="20"/>
                <w:szCs w:val="20"/>
              </w:rPr>
              <w:br/>
              <w:t>provedbe mjere u razdoblju trajanja Nacionalnog plana (2022.- 2027. godine)</w:t>
            </w:r>
          </w:p>
        </w:tc>
        <w:tc>
          <w:tcPr>
            <w:tcW w:w="816" w:type="dxa"/>
            <w:hideMark/>
          </w:tcPr>
          <w:p w14:paraId="472B74F0" w14:textId="77777777"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Planirani izvor financiranja  u Državnom proračunu (proračunska aktivnost je navedena ukoliko je izvor financiranja DPRH)</w:t>
            </w:r>
          </w:p>
        </w:tc>
      </w:tr>
      <w:tr w:rsidR="003127BD" w:rsidRPr="007D4156" w14:paraId="128A0DE6" w14:textId="77777777" w:rsidTr="007D4156">
        <w:trPr>
          <w:trHeight w:val="1902"/>
        </w:trPr>
        <w:tc>
          <w:tcPr>
            <w:tcW w:w="1044" w:type="dxa"/>
            <w:hideMark/>
          </w:tcPr>
          <w:p w14:paraId="3B332EFE" w14:textId="77777777" w:rsidR="007D4156" w:rsidRPr="007D4156" w:rsidRDefault="007D4156" w:rsidP="00CF387A">
            <w:pPr>
              <w:rPr>
                <w:rFonts w:ascii="Times New Roman" w:hAnsi="Times New Roman" w:cs="Times New Roman"/>
                <w:b/>
                <w:bCs/>
                <w:sz w:val="20"/>
                <w:szCs w:val="20"/>
              </w:rPr>
            </w:pPr>
            <w:r w:rsidRPr="007D4156">
              <w:rPr>
                <w:rFonts w:ascii="Times New Roman" w:hAnsi="Times New Roman" w:cs="Times New Roman"/>
                <w:b/>
                <w:bCs/>
                <w:sz w:val="20"/>
                <w:szCs w:val="20"/>
              </w:rPr>
              <w:t>Strategija digitalna Hrvatska -  C2.3. R1</w:t>
            </w:r>
          </w:p>
        </w:tc>
        <w:tc>
          <w:tcPr>
            <w:tcW w:w="995" w:type="dxa"/>
            <w:hideMark/>
          </w:tcPr>
          <w:p w14:paraId="359EA3B6"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Utvrđivanje strateškog okvira za koordiniranu i učinkovitu digitalnu tranziciju društva i gospodarstva, kako bi se promišljeno, strukturirano i strateški kreirali preduvjeti za stavljanje digitalizacije u funkciju pokretača gospodarstva.</w:t>
            </w:r>
          </w:p>
        </w:tc>
        <w:tc>
          <w:tcPr>
            <w:tcW w:w="559" w:type="dxa"/>
            <w:noWrap/>
            <w:hideMark/>
          </w:tcPr>
          <w:p w14:paraId="21FB4400"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4Q/2022.</w:t>
            </w:r>
          </w:p>
        </w:tc>
        <w:tc>
          <w:tcPr>
            <w:tcW w:w="1212" w:type="dxa"/>
            <w:hideMark/>
          </w:tcPr>
          <w:p w14:paraId="3F6C8765"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Objava Strategije u Narodnim novinama</w:t>
            </w:r>
          </w:p>
        </w:tc>
        <w:tc>
          <w:tcPr>
            <w:tcW w:w="655" w:type="dxa"/>
            <w:noWrap/>
            <w:hideMark/>
          </w:tcPr>
          <w:p w14:paraId="41930DE6"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SDURDD</w:t>
            </w:r>
          </w:p>
        </w:tc>
        <w:tc>
          <w:tcPr>
            <w:tcW w:w="856" w:type="dxa"/>
            <w:noWrap/>
            <w:hideMark/>
          </w:tcPr>
          <w:p w14:paraId="41891316"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2.582.176 kn</w:t>
            </w:r>
          </w:p>
        </w:tc>
        <w:tc>
          <w:tcPr>
            <w:tcW w:w="856" w:type="dxa"/>
            <w:noWrap/>
            <w:hideMark/>
          </w:tcPr>
          <w:p w14:paraId="42AE075D"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423.816 kn</w:t>
            </w:r>
          </w:p>
        </w:tc>
        <w:tc>
          <w:tcPr>
            <w:tcW w:w="856" w:type="dxa"/>
            <w:noWrap/>
            <w:hideMark/>
          </w:tcPr>
          <w:p w14:paraId="295D427E"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691" w:type="dxa"/>
            <w:hideMark/>
          </w:tcPr>
          <w:p w14:paraId="79CCAF17"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3.005.992 kn</w:t>
            </w:r>
          </w:p>
        </w:tc>
        <w:tc>
          <w:tcPr>
            <w:tcW w:w="856" w:type="dxa"/>
            <w:noWrap/>
            <w:hideMark/>
          </w:tcPr>
          <w:p w14:paraId="3C6604F5"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3.005.992 kn</w:t>
            </w:r>
          </w:p>
        </w:tc>
        <w:tc>
          <w:tcPr>
            <w:tcW w:w="816" w:type="dxa"/>
            <w:hideMark/>
          </w:tcPr>
          <w:p w14:paraId="30D911BB"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 xml:space="preserve">SDURDD  A912026, izvor 581 Mehanizam za oporavak i otpornost  </w:t>
            </w:r>
          </w:p>
        </w:tc>
      </w:tr>
      <w:tr w:rsidR="003127BD" w:rsidRPr="007D4156" w14:paraId="6CE23A1C" w14:textId="77777777" w:rsidTr="006C449F">
        <w:trPr>
          <w:trHeight w:val="1557"/>
        </w:trPr>
        <w:tc>
          <w:tcPr>
            <w:tcW w:w="1044" w:type="dxa"/>
            <w:hideMark/>
          </w:tcPr>
          <w:p w14:paraId="5543F7A9" w14:textId="77777777" w:rsidR="007D4156" w:rsidRPr="007D4156" w:rsidRDefault="007D4156" w:rsidP="00CF387A">
            <w:pPr>
              <w:rPr>
                <w:rFonts w:ascii="Times New Roman" w:hAnsi="Times New Roman" w:cs="Times New Roman"/>
                <w:b/>
                <w:bCs/>
                <w:sz w:val="20"/>
                <w:szCs w:val="20"/>
              </w:rPr>
            </w:pPr>
            <w:r w:rsidRPr="007D4156">
              <w:rPr>
                <w:rFonts w:ascii="Times New Roman" w:hAnsi="Times New Roman" w:cs="Times New Roman"/>
                <w:b/>
                <w:bCs/>
                <w:sz w:val="20"/>
                <w:szCs w:val="20"/>
              </w:rPr>
              <w:t>Uspostava mehanizma koordinacije za osiguranje koherentnog razvoja e-Uprave - C2.3. R1</w:t>
            </w:r>
          </w:p>
        </w:tc>
        <w:tc>
          <w:tcPr>
            <w:tcW w:w="995" w:type="dxa"/>
            <w:hideMark/>
          </w:tcPr>
          <w:p w14:paraId="2B80F6B2"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 xml:space="preserve">Jačanje međuinstitucijske suradnje i koordinacije za uspješnu digitalnu tranziciju društva i gospodarstva. Funkcionalan i </w:t>
            </w:r>
            <w:r w:rsidRPr="007D4156">
              <w:rPr>
                <w:rFonts w:ascii="Times New Roman" w:hAnsi="Times New Roman" w:cs="Times New Roman"/>
                <w:sz w:val="20"/>
                <w:szCs w:val="20"/>
              </w:rPr>
              <w:lastRenderedPageBreak/>
              <w:t xml:space="preserve">učinkovit model koordinacije za javne inicijative digitalizacije i poboljšana interoperabilnost digitalnih javnih usluga. </w:t>
            </w:r>
          </w:p>
        </w:tc>
        <w:tc>
          <w:tcPr>
            <w:tcW w:w="559" w:type="dxa"/>
            <w:noWrap/>
            <w:hideMark/>
          </w:tcPr>
          <w:p w14:paraId="0D84DE83"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lastRenderedPageBreak/>
              <w:t>2Q/2023.</w:t>
            </w:r>
          </w:p>
        </w:tc>
        <w:tc>
          <w:tcPr>
            <w:tcW w:w="1212" w:type="dxa"/>
            <w:hideMark/>
          </w:tcPr>
          <w:p w14:paraId="3D5904E2"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 xml:space="preserve">Uspostavljen funkcionalan i učinkovit model upravljanja i koordinacije s mehanizmima koji  povećavaju koherentnost u identifikaciji, </w:t>
            </w:r>
            <w:r w:rsidRPr="007D4156">
              <w:rPr>
                <w:rFonts w:ascii="Times New Roman" w:hAnsi="Times New Roman" w:cs="Times New Roman"/>
                <w:sz w:val="20"/>
                <w:szCs w:val="20"/>
              </w:rPr>
              <w:lastRenderedPageBreak/>
              <w:t xml:space="preserve">određivanju prioriteta, odabiru, praćenju i evaluaciji projekata digitalne javne uprave. </w:t>
            </w:r>
          </w:p>
        </w:tc>
        <w:tc>
          <w:tcPr>
            <w:tcW w:w="655" w:type="dxa"/>
            <w:noWrap/>
            <w:hideMark/>
          </w:tcPr>
          <w:p w14:paraId="1B1D1BE9"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lastRenderedPageBreak/>
              <w:t>SDURRD</w:t>
            </w:r>
          </w:p>
        </w:tc>
        <w:tc>
          <w:tcPr>
            <w:tcW w:w="856" w:type="dxa"/>
            <w:noWrap/>
            <w:hideMark/>
          </w:tcPr>
          <w:p w14:paraId="46C469E6"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856" w:type="dxa"/>
            <w:noWrap/>
            <w:hideMark/>
          </w:tcPr>
          <w:p w14:paraId="781F757E"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856" w:type="dxa"/>
            <w:noWrap/>
            <w:hideMark/>
          </w:tcPr>
          <w:p w14:paraId="69EB53EA"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691" w:type="dxa"/>
            <w:hideMark/>
          </w:tcPr>
          <w:p w14:paraId="03FF1CA4"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856" w:type="dxa"/>
            <w:noWrap/>
            <w:hideMark/>
          </w:tcPr>
          <w:p w14:paraId="6CFA70E1"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0 kn</w:t>
            </w:r>
          </w:p>
        </w:tc>
        <w:tc>
          <w:tcPr>
            <w:tcW w:w="816" w:type="dxa"/>
            <w:hideMark/>
          </w:tcPr>
          <w:p w14:paraId="5EC95582" w14:textId="77777777" w:rsidR="007D4156" w:rsidRPr="007D4156" w:rsidRDefault="007D4156" w:rsidP="00CF387A">
            <w:pPr>
              <w:rPr>
                <w:rFonts w:ascii="Times New Roman" w:hAnsi="Times New Roman" w:cs="Times New Roman"/>
                <w:sz w:val="20"/>
                <w:szCs w:val="20"/>
              </w:rPr>
            </w:pPr>
            <w:r w:rsidRPr="007D4156">
              <w:rPr>
                <w:rFonts w:ascii="Times New Roman" w:hAnsi="Times New Roman" w:cs="Times New Roman"/>
                <w:sz w:val="20"/>
                <w:szCs w:val="20"/>
              </w:rPr>
              <w:t xml:space="preserve">op. Financira EU iz Instrumenta za tehničku potporu, u suradnji s Glavnom upravom za potporu </w:t>
            </w:r>
            <w:r w:rsidRPr="007D4156">
              <w:rPr>
                <w:rFonts w:ascii="Times New Roman" w:hAnsi="Times New Roman" w:cs="Times New Roman"/>
                <w:sz w:val="20"/>
                <w:szCs w:val="20"/>
              </w:rPr>
              <w:lastRenderedPageBreak/>
              <w:t>strukturnim reformama Europske komisije = 33000000</w:t>
            </w:r>
          </w:p>
        </w:tc>
      </w:tr>
      <w:tr w:rsidR="003127BD" w:rsidRPr="007D4156" w14:paraId="38B5548D" w14:textId="77777777" w:rsidTr="007D4156">
        <w:trPr>
          <w:trHeight w:val="3319"/>
        </w:trPr>
        <w:tc>
          <w:tcPr>
            <w:tcW w:w="1044" w:type="dxa"/>
            <w:hideMark/>
          </w:tcPr>
          <w:p w14:paraId="3DDC34DD"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Uspostava središnjeg sustava interoperabilnosti  - C2.3. R2-I1</w:t>
            </w:r>
          </w:p>
        </w:tc>
        <w:tc>
          <w:tcPr>
            <w:tcW w:w="995" w:type="dxa"/>
            <w:hideMark/>
          </w:tcPr>
          <w:p w14:paraId="43E4E351"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Konsolidacija temeljnih registara, integracija tih registara na Državnu sabirnicu te uspostava središnjeg portala za interoperabilnost u skladu s Europskim okvirom za interoperabilnost (EIF), kreiranje standarda i politika vezanih uz interoperabilnost, usklađivanje zakonskih okvira te potpunu primjenu načela „samo jednom“ do 2023. u skladu sa SDGR-om kao i uspostavu prekogranične razmjene podataka između država članica EU.</w:t>
            </w:r>
          </w:p>
        </w:tc>
        <w:tc>
          <w:tcPr>
            <w:tcW w:w="559" w:type="dxa"/>
            <w:noWrap/>
            <w:hideMark/>
          </w:tcPr>
          <w:p w14:paraId="3EF17CE2"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2Q/2026.</w:t>
            </w:r>
          </w:p>
        </w:tc>
        <w:tc>
          <w:tcPr>
            <w:tcW w:w="1212" w:type="dxa"/>
            <w:hideMark/>
          </w:tcPr>
          <w:p w14:paraId="5150B780" w14:textId="13E2404B"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Uspostava središnjeg sustava interoperabilnost, u skladu s Europskim okvirom za interoperabilnost (EIF), potpuna primjena načela „samo jednom“ do 2023. u skladu s Uredbom o uspostavi jedinstvenog digitalnog pristupnika za pristup informacijama, postupcima, uslugama podrške i rješavanja problema (SDGR), te uspostava prekogranične razmjene podataka između država članica EU, uključujući integraciju 21 servisa/procedura</w:t>
            </w:r>
          </w:p>
        </w:tc>
        <w:tc>
          <w:tcPr>
            <w:tcW w:w="655" w:type="dxa"/>
            <w:hideMark/>
          </w:tcPr>
          <w:p w14:paraId="209C9BB1"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SDURDD, u suradnji s tijelima koji su vlasnici registara</w:t>
            </w:r>
          </w:p>
        </w:tc>
        <w:tc>
          <w:tcPr>
            <w:tcW w:w="856" w:type="dxa"/>
            <w:noWrap/>
            <w:hideMark/>
          </w:tcPr>
          <w:p w14:paraId="330DA83F"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48.600.906 kn</w:t>
            </w:r>
          </w:p>
        </w:tc>
        <w:tc>
          <w:tcPr>
            <w:tcW w:w="856" w:type="dxa"/>
            <w:noWrap/>
            <w:hideMark/>
          </w:tcPr>
          <w:p w14:paraId="2DFC55A6"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47.120.814 kn</w:t>
            </w:r>
          </w:p>
        </w:tc>
        <w:tc>
          <w:tcPr>
            <w:tcW w:w="856" w:type="dxa"/>
            <w:noWrap/>
            <w:hideMark/>
          </w:tcPr>
          <w:p w14:paraId="446E9633"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10.381.313 kn</w:t>
            </w:r>
          </w:p>
        </w:tc>
        <w:tc>
          <w:tcPr>
            <w:tcW w:w="691" w:type="dxa"/>
            <w:hideMark/>
          </w:tcPr>
          <w:p w14:paraId="6184F4A6"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106.103.033 kn</w:t>
            </w:r>
          </w:p>
        </w:tc>
        <w:tc>
          <w:tcPr>
            <w:tcW w:w="856" w:type="dxa"/>
            <w:hideMark/>
          </w:tcPr>
          <w:p w14:paraId="44AA6124"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106.103.033 kn</w:t>
            </w:r>
          </w:p>
        </w:tc>
        <w:tc>
          <w:tcPr>
            <w:tcW w:w="816" w:type="dxa"/>
            <w:hideMark/>
          </w:tcPr>
          <w:p w14:paraId="575D7DF0" w14:textId="77777777" w:rsidR="007D4156" w:rsidRPr="007D4156" w:rsidRDefault="007D4156" w:rsidP="003127BD">
            <w:pPr>
              <w:rPr>
                <w:rFonts w:ascii="Times New Roman" w:hAnsi="Times New Roman" w:cs="Times New Roman"/>
                <w:sz w:val="20"/>
                <w:szCs w:val="20"/>
              </w:rPr>
            </w:pPr>
            <w:r w:rsidRPr="007D4156">
              <w:rPr>
                <w:rFonts w:ascii="Times New Roman" w:hAnsi="Times New Roman" w:cs="Times New Roman"/>
                <w:sz w:val="20"/>
                <w:szCs w:val="20"/>
              </w:rPr>
              <w:t xml:space="preserve">SDURDD A912023, izvor 581 Mehanizam za oporavak i otpornost </w:t>
            </w:r>
          </w:p>
        </w:tc>
      </w:tr>
      <w:tr w:rsidR="003127BD" w:rsidRPr="007D4156" w14:paraId="0499EBF2" w14:textId="77777777" w:rsidTr="007D4156">
        <w:trPr>
          <w:trHeight w:val="1980"/>
        </w:trPr>
        <w:tc>
          <w:tcPr>
            <w:tcW w:w="1044" w:type="dxa"/>
            <w:hideMark/>
          </w:tcPr>
          <w:p w14:paraId="1F798270" w14:textId="447BCA0F"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lastRenderedPageBreak/>
              <w:t>Uspostava centralnog "data lake</w:t>
            </w:r>
            <w:r w:rsidR="00C92457">
              <w:rPr>
                <w:rFonts w:ascii="Times New Roman" w:hAnsi="Times New Roman" w:cs="Times New Roman"/>
                <w:b/>
                <w:bCs/>
                <w:sz w:val="20"/>
                <w:szCs w:val="20"/>
              </w:rPr>
              <w:t xml:space="preserve">“ </w:t>
            </w:r>
            <w:r w:rsidRPr="007D4156">
              <w:rPr>
                <w:rFonts w:ascii="Times New Roman" w:hAnsi="Times New Roman" w:cs="Times New Roman"/>
                <w:b/>
                <w:bCs/>
                <w:sz w:val="20"/>
                <w:szCs w:val="20"/>
              </w:rPr>
              <w:t>repozitorija i sustava poslovne analitike - C2.3. R2-I2</w:t>
            </w:r>
          </w:p>
        </w:tc>
        <w:tc>
          <w:tcPr>
            <w:tcW w:w="995" w:type="dxa"/>
            <w:hideMark/>
          </w:tcPr>
          <w:p w14:paraId="138DB4AB"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Uvođenje sustava pohrane podatka zajedno s njihovim atributima te na temelju tih podataka dizajniranje različitih skladišta podataka kao ekosustava koji će omogućiti ekstrakciju, punjenje, transformaciju, skladištenje, analizu, vizualizaciju i analitiku te uvođenje analitičke organizacijske kulture kao izvora pouzdanih sažetih podataka potrebnih za proces donošenja odluka. </w:t>
            </w:r>
          </w:p>
        </w:tc>
        <w:tc>
          <w:tcPr>
            <w:tcW w:w="559" w:type="dxa"/>
            <w:noWrap/>
            <w:hideMark/>
          </w:tcPr>
          <w:p w14:paraId="3E58BD84"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2Q/2026.</w:t>
            </w:r>
          </w:p>
        </w:tc>
        <w:tc>
          <w:tcPr>
            <w:tcW w:w="1212" w:type="dxa"/>
            <w:hideMark/>
          </w:tcPr>
          <w:p w14:paraId="6D6B500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Implementacija i uspostava platformi središnjeg sustava interoperabilnosti</w:t>
            </w:r>
          </w:p>
        </w:tc>
        <w:tc>
          <w:tcPr>
            <w:tcW w:w="655" w:type="dxa"/>
            <w:noWrap/>
            <w:hideMark/>
          </w:tcPr>
          <w:p w14:paraId="48EA565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noWrap/>
            <w:hideMark/>
          </w:tcPr>
          <w:p w14:paraId="6100199B"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55.888.398 kn</w:t>
            </w:r>
          </w:p>
        </w:tc>
        <w:tc>
          <w:tcPr>
            <w:tcW w:w="856" w:type="dxa"/>
            <w:noWrap/>
            <w:hideMark/>
          </w:tcPr>
          <w:p w14:paraId="5BE337C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13.139.118 kn</w:t>
            </w:r>
          </w:p>
        </w:tc>
        <w:tc>
          <w:tcPr>
            <w:tcW w:w="856" w:type="dxa"/>
            <w:noWrap/>
            <w:hideMark/>
          </w:tcPr>
          <w:p w14:paraId="36DEEF4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49.179.092 kn</w:t>
            </w:r>
          </w:p>
        </w:tc>
        <w:tc>
          <w:tcPr>
            <w:tcW w:w="691" w:type="dxa"/>
            <w:hideMark/>
          </w:tcPr>
          <w:p w14:paraId="218D9264"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118.206.608 kn</w:t>
            </w:r>
          </w:p>
        </w:tc>
        <w:tc>
          <w:tcPr>
            <w:tcW w:w="856" w:type="dxa"/>
            <w:noWrap/>
            <w:hideMark/>
          </w:tcPr>
          <w:p w14:paraId="4F35D0E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125.091.935 kn</w:t>
            </w:r>
          </w:p>
        </w:tc>
        <w:tc>
          <w:tcPr>
            <w:tcW w:w="816" w:type="dxa"/>
            <w:hideMark/>
          </w:tcPr>
          <w:p w14:paraId="5E9B3DA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SDURDD A912025, izvor 581 Mehanizam za oporavak i otpornost </w:t>
            </w:r>
          </w:p>
        </w:tc>
      </w:tr>
      <w:tr w:rsidR="003127BD" w:rsidRPr="007D4156" w14:paraId="473473A2" w14:textId="77777777" w:rsidTr="006C449F">
        <w:trPr>
          <w:trHeight w:val="990"/>
        </w:trPr>
        <w:tc>
          <w:tcPr>
            <w:tcW w:w="1044" w:type="dxa"/>
            <w:hideMark/>
          </w:tcPr>
          <w:p w14:paraId="1FFD4B14"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Nadogradnja Centra dijeljenih usluga - C2.3. R3-I1</w:t>
            </w:r>
          </w:p>
        </w:tc>
        <w:tc>
          <w:tcPr>
            <w:tcW w:w="995" w:type="dxa"/>
            <w:hideMark/>
          </w:tcPr>
          <w:p w14:paraId="5335FF8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Proširenje kapaciteta, daljnja nadogradnja postojećeg državnog oblaka te uspostava novih funkcionalnosti. Implementirat će se najmodernija razvojna okolina i svi potrebni resursi za razvojne timove za sve buduće </w:t>
            </w:r>
            <w:r w:rsidRPr="003127BD">
              <w:rPr>
                <w:rFonts w:ascii="Times New Roman" w:hAnsi="Times New Roman" w:cs="Times New Roman"/>
                <w:bCs/>
                <w:sz w:val="20"/>
                <w:szCs w:val="20"/>
              </w:rPr>
              <w:lastRenderedPageBreak/>
              <w:t>aplikacije koje će se razvijati za tijela državne uprave.</w:t>
            </w:r>
          </w:p>
        </w:tc>
        <w:tc>
          <w:tcPr>
            <w:tcW w:w="559" w:type="dxa"/>
            <w:noWrap/>
            <w:hideMark/>
          </w:tcPr>
          <w:p w14:paraId="5998BFE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2Q/2026.</w:t>
            </w:r>
          </w:p>
        </w:tc>
        <w:tc>
          <w:tcPr>
            <w:tcW w:w="1212" w:type="dxa"/>
            <w:hideMark/>
          </w:tcPr>
          <w:p w14:paraId="5406BCE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Uspostava najmodernije razvojne okoline za postojeći državni oblak</w:t>
            </w:r>
          </w:p>
        </w:tc>
        <w:tc>
          <w:tcPr>
            <w:tcW w:w="655" w:type="dxa"/>
            <w:noWrap/>
            <w:hideMark/>
          </w:tcPr>
          <w:p w14:paraId="218B099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noWrap/>
            <w:hideMark/>
          </w:tcPr>
          <w:p w14:paraId="6DFCE8B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131.345.571 kn</w:t>
            </w:r>
          </w:p>
        </w:tc>
        <w:tc>
          <w:tcPr>
            <w:tcW w:w="856" w:type="dxa"/>
            <w:noWrap/>
            <w:hideMark/>
          </w:tcPr>
          <w:p w14:paraId="1A7860B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7.334.399 kn</w:t>
            </w:r>
          </w:p>
        </w:tc>
        <w:tc>
          <w:tcPr>
            <w:tcW w:w="856" w:type="dxa"/>
            <w:noWrap/>
            <w:hideMark/>
          </w:tcPr>
          <w:p w14:paraId="1722205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100.221.467 kn</w:t>
            </w:r>
          </w:p>
        </w:tc>
        <w:tc>
          <w:tcPr>
            <w:tcW w:w="691" w:type="dxa"/>
            <w:hideMark/>
          </w:tcPr>
          <w:p w14:paraId="1340AD9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238.901.437 kn</w:t>
            </w:r>
          </w:p>
        </w:tc>
        <w:tc>
          <w:tcPr>
            <w:tcW w:w="856" w:type="dxa"/>
            <w:noWrap/>
            <w:hideMark/>
          </w:tcPr>
          <w:p w14:paraId="33501B8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259.951.812 kn</w:t>
            </w:r>
          </w:p>
        </w:tc>
        <w:tc>
          <w:tcPr>
            <w:tcW w:w="816" w:type="dxa"/>
            <w:hideMark/>
          </w:tcPr>
          <w:p w14:paraId="233BC65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SDURDD  A912021, izvor 581 Mehanizam za oporavak i otpornost </w:t>
            </w:r>
          </w:p>
        </w:tc>
      </w:tr>
      <w:tr w:rsidR="003127BD" w:rsidRPr="003127BD" w14:paraId="4A88CE88" w14:textId="77777777" w:rsidTr="00A35106">
        <w:trPr>
          <w:trHeight w:val="564"/>
        </w:trPr>
        <w:tc>
          <w:tcPr>
            <w:tcW w:w="1044" w:type="dxa"/>
            <w:hideMark/>
          </w:tcPr>
          <w:p w14:paraId="4244F601"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Uspostava jedinstvenog kontakt centra za sve e-javne usluge za pružanje korisničke podrške - C2.3. R3-I3</w:t>
            </w:r>
          </w:p>
        </w:tc>
        <w:tc>
          <w:tcPr>
            <w:tcW w:w="995" w:type="dxa"/>
            <w:hideMark/>
          </w:tcPr>
          <w:p w14:paraId="6A9E4A4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Uspostaviti sustav za pružanje informacija i korisničke podrške građanima i poslovnim subjektima na jednom centraliziranom mjestu. JKC će transformirati način komunikacije javnih službenika s korisnicima te omogućiti transparentnost iste s obzirom na to da će korisnici moći ocijeniti kvalitetu interakcije s javnim službenicima. Na taj način korisnici će moći izraziti svoje zadovoljstvo ili nezadovoljstvo pruženom uslugom. Na temelju dobivenih informacija radit će se na kontinuiranom </w:t>
            </w:r>
            <w:r w:rsidRPr="003127BD">
              <w:rPr>
                <w:rFonts w:ascii="Times New Roman" w:hAnsi="Times New Roman" w:cs="Times New Roman"/>
                <w:bCs/>
                <w:sz w:val="20"/>
                <w:szCs w:val="20"/>
              </w:rPr>
              <w:lastRenderedPageBreak/>
              <w:t>poboljšanju usluga.</w:t>
            </w:r>
          </w:p>
        </w:tc>
        <w:tc>
          <w:tcPr>
            <w:tcW w:w="559" w:type="dxa"/>
            <w:noWrap/>
            <w:hideMark/>
          </w:tcPr>
          <w:p w14:paraId="559424F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4Q/2024.</w:t>
            </w:r>
          </w:p>
        </w:tc>
        <w:tc>
          <w:tcPr>
            <w:tcW w:w="1212" w:type="dxa"/>
            <w:hideMark/>
          </w:tcPr>
          <w:p w14:paraId="2F5AE0C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Uspostava jedinstvenog kontakt centra /Izvješće SDURDD-a da je platforma i  jedinstveni kontakt centar za građane i poslovni sektor uspostavljen i operativan za uporabu</w:t>
            </w:r>
          </w:p>
        </w:tc>
        <w:tc>
          <w:tcPr>
            <w:tcW w:w="655" w:type="dxa"/>
            <w:noWrap/>
            <w:hideMark/>
          </w:tcPr>
          <w:p w14:paraId="4C6E5CAE"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noWrap/>
            <w:hideMark/>
          </w:tcPr>
          <w:p w14:paraId="40E65B0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11.300.582 kn</w:t>
            </w:r>
          </w:p>
        </w:tc>
        <w:tc>
          <w:tcPr>
            <w:tcW w:w="856" w:type="dxa"/>
            <w:noWrap/>
            <w:hideMark/>
          </w:tcPr>
          <w:p w14:paraId="603DD608"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8.413.654 kn</w:t>
            </w:r>
          </w:p>
        </w:tc>
        <w:tc>
          <w:tcPr>
            <w:tcW w:w="856" w:type="dxa"/>
            <w:noWrap/>
            <w:hideMark/>
          </w:tcPr>
          <w:p w14:paraId="3F48D23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16.932.541 kn</w:t>
            </w:r>
          </w:p>
        </w:tc>
        <w:tc>
          <w:tcPr>
            <w:tcW w:w="691" w:type="dxa"/>
            <w:hideMark/>
          </w:tcPr>
          <w:p w14:paraId="67B6462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36.646.777 kn</w:t>
            </w:r>
          </w:p>
        </w:tc>
        <w:tc>
          <w:tcPr>
            <w:tcW w:w="856" w:type="dxa"/>
            <w:noWrap/>
            <w:hideMark/>
          </w:tcPr>
          <w:p w14:paraId="56AD1CE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36.646.777 kn</w:t>
            </w:r>
          </w:p>
        </w:tc>
        <w:tc>
          <w:tcPr>
            <w:tcW w:w="816" w:type="dxa"/>
            <w:hideMark/>
          </w:tcPr>
          <w:p w14:paraId="4A3ABD9B"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SDURDD A912024, izvor 581 Mehanizam za oporavak i otpornost  </w:t>
            </w:r>
          </w:p>
        </w:tc>
      </w:tr>
      <w:tr w:rsidR="003127BD" w:rsidRPr="003127BD" w14:paraId="275CDA32" w14:textId="77777777" w:rsidTr="007D4156">
        <w:trPr>
          <w:trHeight w:val="1980"/>
        </w:trPr>
        <w:tc>
          <w:tcPr>
            <w:tcW w:w="1044" w:type="dxa"/>
            <w:hideMark/>
          </w:tcPr>
          <w:p w14:paraId="7D680E78"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Ulaganja u mreže državne informacijske infrastrukture - C2.3. R3-I6</w:t>
            </w:r>
          </w:p>
        </w:tc>
        <w:tc>
          <w:tcPr>
            <w:tcW w:w="995" w:type="dxa"/>
            <w:hideMark/>
          </w:tcPr>
          <w:p w14:paraId="1C00145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Uspostava sigurne mrežne infrastrukture na postojećim i novim lokacijama gdje institucije pružaju usluge građanima i/ili poslovnim subjektima; osiguranje mrežnih kapaciteta primjerenim potrebama suvremenog informacijskog društva; i povećanje sigurnosti cijele državne informacijske infrastrukture (DII).</w:t>
            </w:r>
          </w:p>
        </w:tc>
        <w:tc>
          <w:tcPr>
            <w:tcW w:w="559" w:type="dxa"/>
            <w:noWrap/>
            <w:hideMark/>
          </w:tcPr>
          <w:p w14:paraId="4A194C7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2Q/2026.</w:t>
            </w:r>
          </w:p>
        </w:tc>
        <w:tc>
          <w:tcPr>
            <w:tcW w:w="1212" w:type="dxa"/>
            <w:hideMark/>
          </w:tcPr>
          <w:p w14:paraId="4797123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Uspostava jezgrenog dijela mreže DII/Izvješće SDURDD-a da je uspostavljen jezgreni dio mreže DII</w:t>
            </w:r>
          </w:p>
        </w:tc>
        <w:tc>
          <w:tcPr>
            <w:tcW w:w="655" w:type="dxa"/>
            <w:noWrap/>
            <w:hideMark/>
          </w:tcPr>
          <w:p w14:paraId="09A2055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noWrap/>
            <w:hideMark/>
          </w:tcPr>
          <w:p w14:paraId="27B4D4F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81.423.379 kn</w:t>
            </w:r>
          </w:p>
        </w:tc>
        <w:tc>
          <w:tcPr>
            <w:tcW w:w="856" w:type="dxa"/>
            <w:noWrap/>
            <w:hideMark/>
          </w:tcPr>
          <w:p w14:paraId="5F5BF90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110.037.509 kn</w:t>
            </w:r>
          </w:p>
        </w:tc>
        <w:tc>
          <w:tcPr>
            <w:tcW w:w="856" w:type="dxa"/>
            <w:noWrap/>
            <w:hideMark/>
          </w:tcPr>
          <w:p w14:paraId="666E4D5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76.379.805 kn</w:t>
            </w:r>
          </w:p>
        </w:tc>
        <w:tc>
          <w:tcPr>
            <w:tcW w:w="691" w:type="dxa"/>
            <w:hideMark/>
          </w:tcPr>
          <w:p w14:paraId="30994EAE"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267.840.693 kn</w:t>
            </w:r>
          </w:p>
        </w:tc>
        <w:tc>
          <w:tcPr>
            <w:tcW w:w="856" w:type="dxa"/>
            <w:noWrap/>
            <w:hideMark/>
          </w:tcPr>
          <w:p w14:paraId="046C47C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267.840.693 kn</w:t>
            </w:r>
          </w:p>
        </w:tc>
        <w:tc>
          <w:tcPr>
            <w:tcW w:w="816" w:type="dxa"/>
            <w:hideMark/>
          </w:tcPr>
          <w:p w14:paraId="490A333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SDURDD A912019, izvor 581 Mehanizam za oporavak i otpornost  </w:t>
            </w:r>
          </w:p>
        </w:tc>
      </w:tr>
      <w:tr w:rsidR="003127BD" w:rsidRPr="003127BD" w14:paraId="677FCC9E" w14:textId="77777777" w:rsidTr="006C449F">
        <w:trPr>
          <w:trHeight w:val="3399"/>
        </w:trPr>
        <w:tc>
          <w:tcPr>
            <w:tcW w:w="1044" w:type="dxa"/>
            <w:hideMark/>
          </w:tcPr>
          <w:p w14:paraId="302B6FA1"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Digitalizacija usluga državne i javne administracije prema poslovnom sektoru (G2B) - C1.1.1. R1-I1</w:t>
            </w:r>
          </w:p>
        </w:tc>
        <w:tc>
          <w:tcPr>
            <w:tcW w:w="995" w:type="dxa"/>
            <w:hideMark/>
          </w:tcPr>
          <w:p w14:paraId="0D66479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Digitalizacija usluga G2B poboljšat će dostupnost, transparentnost i učinkovitost pružanja usluga. Također će pomoći u poboljšanju horizontalne koordinacije između resornih ministarstava i vertikalno između središnje vlade i </w:t>
            </w:r>
            <w:r w:rsidRPr="003127BD">
              <w:rPr>
                <w:rFonts w:ascii="Times New Roman" w:hAnsi="Times New Roman" w:cs="Times New Roman"/>
                <w:bCs/>
                <w:sz w:val="20"/>
                <w:szCs w:val="20"/>
              </w:rPr>
              <w:lastRenderedPageBreak/>
              <w:t>lokalnih vlasti. Cilj je implementirati potpuno digitalne, beskontaktne i bez-papirne G2B usluge u odabranim prioritetnim područjima kao što su registracija poduzeća i licenciranje i uspostaviti pristup integriranim informacijama za ulazak na tržište i ulaganje u Hrvatsku. Štoviše, cilj je poboljšati točnost podataka i dostupnost kako bi se tijelima državne uprave pomoglo u poboljšanju dizajna i provedbe politike. Konačno, cilj je poboljšati razmjenu informacija i konsolidaciju podataka u tijelima državne uprave, kako bi se omogućila primjena principa "samo jednom".</w:t>
            </w:r>
          </w:p>
        </w:tc>
        <w:tc>
          <w:tcPr>
            <w:tcW w:w="559" w:type="dxa"/>
            <w:noWrap/>
            <w:hideMark/>
          </w:tcPr>
          <w:p w14:paraId="27D40B2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2Q/2024.</w:t>
            </w:r>
          </w:p>
        </w:tc>
        <w:tc>
          <w:tcPr>
            <w:tcW w:w="1212" w:type="dxa"/>
            <w:hideMark/>
          </w:tcPr>
          <w:p w14:paraId="0CBC6E4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 Digitalna platforma za</w:t>
            </w:r>
            <w:r w:rsidRPr="003127BD">
              <w:rPr>
                <w:rFonts w:ascii="Times New Roman" w:hAnsi="Times New Roman" w:cs="Times New Roman"/>
                <w:bCs/>
                <w:sz w:val="20"/>
                <w:szCs w:val="20"/>
              </w:rPr>
              <w:br/>
              <w:t>plaćanje naknada u funkciji</w:t>
            </w:r>
            <w:r w:rsidRPr="003127BD">
              <w:rPr>
                <w:rFonts w:ascii="Times New Roman" w:hAnsi="Times New Roman" w:cs="Times New Roman"/>
                <w:bCs/>
                <w:sz w:val="20"/>
                <w:szCs w:val="20"/>
              </w:rPr>
              <w:br/>
              <w:t>2. Platforma START s nadograđenim</w:t>
            </w:r>
            <w:r w:rsidRPr="003127BD">
              <w:rPr>
                <w:rFonts w:ascii="Times New Roman" w:hAnsi="Times New Roman" w:cs="Times New Roman"/>
                <w:bCs/>
                <w:sz w:val="20"/>
                <w:szCs w:val="20"/>
              </w:rPr>
              <w:br/>
              <w:t>dodatnim uslugama</w:t>
            </w:r>
            <w:r w:rsidRPr="003127BD">
              <w:rPr>
                <w:rFonts w:ascii="Times New Roman" w:hAnsi="Times New Roman" w:cs="Times New Roman"/>
                <w:bCs/>
                <w:sz w:val="20"/>
                <w:szCs w:val="20"/>
              </w:rPr>
              <w:br/>
              <w:t>3. Uspostavljeno 20 fizičkih pristupnih točaka</w:t>
            </w:r>
            <w:r w:rsidRPr="003127BD">
              <w:rPr>
                <w:rFonts w:ascii="Times New Roman" w:hAnsi="Times New Roman" w:cs="Times New Roman"/>
                <w:bCs/>
                <w:sz w:val="20"/>
                <w:szCs w:val="20"/>
              </w:rPr>
              <w:br/>
              <w:t>platformi START</w:t>
            </w:r>
          </w:p>
        </w:tc>
        <w:tc>
          <w:tcPr>
            <w:tcW w:w="655" w:type="dxa"/>
            <w:noWrap/>
            <w:hideMark/>
          </w:tcPr>
          <w:p w14:paraId="33DE3EA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MGOR</w:t>
            </w:r>
          </w:p>
        </w:tc>
        <w:tc>
          <w:tcPr>
            <w:tcW w:w="856" w:type="dxa"/>
            <w:noWrap/>
            <w:hideMark/>
          </w:tcPr>
          <w:p w14:paraId="701574DC"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10.000.000 kn</w:t>
            </w:r>
          </w:p>
        </w:tc>
        <w:tc>
          <w:tcPr>
            <w:tcW w:w="856" w:type="dxa"/>
            <w:noWrap/>
            <w:hideMark/>
          </w:tcPr>
          <w:p w14:paraId="02311BFA"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13.000.000 kn</w:t>
            </w:r>
          </w:p>
        </w:tc>
        <w:tc>
          <w:tcPr>
            <w:tcW w:w="856" w:type="dxa"/>
            <w:noWrap/>
            <w:hideMark/>
          </w:tcPr>
          <w:p w14:paraId="310B09A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11.440.000 kn</w:t>
            </w:r>
          </w:p>
        </w:tc>
        <w:tc>
          <w:tcPr>
            <w:tcW w:w="691" w:type="dxa"/>
            <w:hideMark/>
          </w:tcPr>
          <w:p w14:paraId="0F7D4E18"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34.440.000 kn</w:t>
            </w:r>
          </w:p>
        </w:tc>
        <w:tc>
          <w:tcPr>
            <w:tcW w:w="856" w:type="dxa"/>
            <w:hideMark/>
          </w:tcPr>
          <w:p w14:paraId="5529A8B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35.000.000 kn</w:t>
            </w:r>
          </w:p>
        </w:tc>
        <w:tc>
          <w:tcPr>
            <w:tcW w:w="816" w:type="dxa"/>
            <w:hideMark/>
          </w:tcPr>
          <w:p w14:paraId="3A3A3E9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MINGOR A822089, izvor 581 Mehanizam za oporavak i otpornost  </w:t>
            </w:r>
          </w:p>
        </w:tc>
      </w:tr>
      <w:tr w:rsidR="003127BD" w:rsidRPr="003127BD" w14:paraId="689A1300" w14:textId="77777777" w:rsidTr="006C449F">
        <w:trPr>
          <w:trHeight w:val="706"/>
        </w:trPr>
        <w:tc>
          <w:tcPr>
            <w:tcW w:w="1044" w:type="dxa"/>
            <w:hideMark/>
          </w:tcPr>
          <w:p w14:paraId="2CD9B838"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lastRenderedPageBreak/>
              <w:t>Uspostava jedinstvenih upravnih mjesta (JUM 1 i 2) (PKK 21-27, 1ii)</w:t>
            </w:r>
          </w:p>
        </w:tc>
        <w:tc>
          <w:tcPr>
            <w:tcW w:w="995" w:type="dxa"/>
            <w:hideMark/>
          </w:tcPr>
          <w:p w14:paraId="377D089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Omogućiti učinkovito pružanje kompleksnih usluga javne uprave bez obzira je li riječ o korištenju više komunikacijskih kanala: fizičkih (jedinstvena upravna mjesta), elektroničkih (e-Građani) ili mobilnih (nova platforma). Otvaranjem JUM-ova skratio bi se i postao jednostavniji način podnošenja zahtjeva, pa i prethodno rješavanje prava na pristup besplatnoj pravnoj pomoći, na koju ima pravo određeni dio stanovništva RH, napose u razdoblju nakon potresa, budući se pravo na obnovu porušenog stambenog fonda rješava u upravnom postupku, a već je sada evidentno da će pribavljanje potrebne dokumentacije </w:t>
            </w:r>
            <w:r w:rsidRPr="003127BD">
              <w:rPr>
                <w:rFonts w:ascii="Times New Roman" w:hAnsi="Times New Roman" w:cs="Times New Roman"/>
                <w:bCs/>
                <w:sz w:val="20"/>
                <w:szCs w:val="20"/>
              </w:rPr>
              <w:lastRenderedPageBreak/>
              <w:t>(priloga uz zahtjev),  značiti veliki materijalni trošak i trošak vremena, za podnositelje zahtjeva. Dakle, koristeći tu mogućnost (bilo e-uslugu, bilo fizičku) građani će predajom jednog zahtjeva pokrenuti lanac aktivnosti unutar tijela javne vlasti. Tako će institucije, vodeći se načelom interoperabilnosti, između sebe razmijeniti sve potrebne podatke, kako bi građanin realizirao svoje pravo.</w:t>
            </w:r>
          </w:p>
        </w:tc>
        <w:tc>
          <w:tcPr>
            <w:tcW w:w="559" w:type="dxa"/>
            <w:noWrap/>
            <w:hideMark/>
          </w:tcPr>
          <w:p w14:paraId="52C0922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4Q/2026.</w:t>
            </w:r>
          </w:p>
        </w:tc>
        <w:tc>
          <w:tcPr>
            <w:tcW w:w="1212" w:type="dxa"/>
            <w:hideMark/>
          </w:tcPr>
          <w:p w14:paraId="40B3CC9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20 novih e-usluga unutar JUM-a</w:t>
            </w:r>
            <w:r w:rsidRPr="003127BD">
              <w:rPr>
                <w:rFonts w:ascii="Times New Roman" w:hAnsi="Times New Roman" w:cs="Times New Roman"/>
                <w:bCs/>
                <w:sz w:val="20"/>
                <w:szCs w:val="20"/>
              </w:rPr>
              <w:br/>
            </w:r>
            <w:r w:rsidRPr="003127BD">
              <w:rPr>
                <w:rFonts w:ascii="Times New Roman" w:hAnsi="Times New Roman" w:cs="Times New Roman"/>
                <w:bCs/>
                <w:sz w:val="20"/>
                <w:szCs w:val="20"/>
              </w:rPr>
              <w:br/>
              <w:t>200 lokacija JUM-a</w:t>
            </w:r>
            <w:r w:rsidRPr="003127BD">
              <w:rPr>
                <w:rFonts w:ascii="Times New Roman" w:hAnsi="Times New Roman" w:cs="Times New Roman"/>
                <w:bCs/>
                <w:sz w:val="20"/>
                <w:szCs w:val="20"/>
              </w:rPr>
              <w:br/>
            </w:r>
            <w:r w:rsidRPr="003127BD">
              <w:rPr>
                <w:rFonts w:ascii="Times New Roman" w:hAnsi="Times New Roman" w:cs="Times New Roman"/>
                <w:bCs/>
                <w:sz w:val="20"/>
                <w:szCs w:val="20"/>
              </w:rPr>
              <w:br/>
              <w:t>Građanima/poslovnim subjektima osigurano korištenje postojećih e-usluga putem JUM-a</w:t>
            </w:r>
          </w:p>
        </w:tc>
        <w:tc>
          <w:tcPr>
            <w:tcW w:w="655" w:type="dxa"/>
            <w:noWrap/>
            <w:hideMark/>
          </w:tcPr>
          <w:p w14:paraId="4CBBADD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MPU</w:t>
            </w:r>
          </w:p>
        </w:tc>
        <w:tc>
          <w:tcPr>
            <w:tcW w:w="856" w:type="dxa"/>
            <w:noWrap/>
            <w:hideMark/>
          </w:tcPr>
          <w:p w14:paraId="57080E48"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6B18B47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2DCF86E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0D763D2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0C15E694"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150.000.000 kn</w:t>
            </w:r>
          </w:p>
        </w:tc>
        <w:tc>
          <w:tcPr>
            <w:tcW w:w="816" w:type="dxa"/>
            <w:hideMark/>
          </w:tcPr>
          <w:p w14:paraId="3F3B7F9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3127BD" w14:paraId="09C0B72D" w14:textId="77777777" w:rsidTr="007D4156">
        <w:trPr>
          <w:trHeight w:val="2959"/>
        </w:trPr>
        <w:tc>
          <w:tcPr>
            <w:tcW w:w="1044" w:type="dxa"/>
            <w:hideMark/>
          </w:tcPr>
          <w:p w14:paraId="79D7D6B7"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 xml:space="preserve">Nadogradnja (modernizacija) informacijskih sustava državnih matica i registra birača te digitalizacija poslova vezanih uz osobna stanja građana </w:t>
            </w:r>
          </w:p>
        </w:tc>
        <w:tc>
          <w:tcPr>
            <w:tcW w:w="995" w:type="dxa"/>
            <w:hideMark/>
          </w:tcPr>
          <w:p w14:paraId="68552403" w14:textId="7C56B524"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Omogućiti i osigurati pružanje usluga el</w:t>
            </w:r>
            <w:r w:rsidR="003127BD" w:rsidRPr="003127BD">
              <w:rPr>
                <w:rFonts w:ascii="Times New Roman" w:hAnsi="Times New Roman" w:cs="Times New Roman"/>
                <w:bCs/>
                <w:sz w:val="20"/>
                <w:szCs w:val="20"/>
              </w:rPr>
              <w:t>e</w:t>
            </w:r>
            <w:r w:rsidRPr="003127BD">
              <w:rPr>
                <w:rFonts w:ascii="Times New Roman" w:hAnsi="Times New Roman" w:cs="Times New Roman"/>
                <w:bCs/>
                <w:sz w:val="20"/>
                <w:szCs w:val="20"/>
              </w:rPr>
              <w:t xml:space="preserve">ktroničkim putem. Implementirati IKT rješenja koja će osigurati pouzdanu i otpornu infrastrukturu za pružanje usluga, kontinuitet, interoperabilnost i razmjenu podataka i to na razini čitave </w:t>
            </w:r>
            <w:r w:rsidRPr="003127BD">
              <w:rPr>
                <w:rFonts w:ascii="Times New Roman" w:hAnsi="Times New Roman" w:cs="Times New Roman"/>
                <w:bCs/>
                <w:sz w:val="20"/>
                <w:szCs w:val="20"/>
              </w:rPr>
              <w:lastRenderedPageBreak/>
              <w:t xml:space="preserve">javne uprave.  Javnopravnim tijelima koja koriste podatke iz službenih evidencija Ministarstva pravosuđa i uprave te koja će svoje aplikacije i usluge migrirati/izgraditi na dostupnim nacionalnim servisima bit će omogućeno kvalitetnije i brže pružanje javnih e-usluga za građane i poslovne subjekte. </w:t>
            </w:r>
          </w:p>
        </w:tc>
        <w:tc>
          <w:tcPr>
            <w:tcW w:w="559" w:type="dxa"/>
            <w:noWrap/>
            <w:hideMark/>
          </w:tcPr>
          <w:p w14:paraId="255378E8"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2Q/2027.</w:t>
            </w:r>
          </w:p>
        </w:tc>
        <w:tc>
          <w:tcPr>
            <w:tcW w:w="1212" w:type="dxa"/>
            <w:hideMark/>
          </w:tcPr>
          <w:p w14:paraId="0E5232C0" w14:textId="1C35737E"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 Prilagođen p</w:t>
            </w:r>
            <w:r w:rsidR="003127BD" w:rsidRPr="003127BD">
              <w:rPr>
                <w:rFonts w:ascii="Times New Roman" w:hAnsi="Times New Roman" w:cs="Times New Roman"/>
                <w:bCs/>
                <w:sz w:val="20"/>
                <w:szCs w:val="20"/>
              </w:rPr>
              <w:t>r</w:t>
            </w:r>
            <w:r w:rsidRPr="003127BD">
              <w:rPr>
                <w:rFonts w:ascii="Times New Roman" w:hAnsi="Times New Roman" w:cs="Times New Roman"/>
                <w:bCs/>
                <w:sz w:val="20"/>
                <w:szCs w:val="20"/>
              </w:rPr>
              <w:t>avni okvir</w:t>
            </w:r>
            <w:r w:rsidR="00DD1803">
              <w:rPr>
                <w:rFonts w:ascii="Times New Roman" w:hAnsi="Times New Roman" w:cs="Times New Roman"/>
                <w:bCs/>
                <w:sz w:val="20"/>
                <w:szCs w:val="20"/>
              </w:rPr>
              <w:t xml:space="preserve"> </w:t>
            </w:r>
            <w:r w:rsidRPr="003127BD">
              <w:rPr>
                <w:rFonts w:ascii="Times New Roman" w:hAnsi="Times New Roman" w:cs="Times New Roman"/>
                <w:bCs/>
                <w:sz w:val="20"/>
                <w:szCs w:val="20"/>
              </w:rPr>
              <w:t>2. Izrađene nove aplikacije prilagođene procesima</w:t>
            </w:r>
            <w:r w:rsidR="00DD1803">
              <w:rPr>
                <w:rFonts w:ascii="Times New Roman" w:hAnsi="Times New Roman" w:cs="Times New Roman"/>
                <w:bCs/>
                <w:sz w:val="20"/>
                <w:szCs w:val="20"/>
              </w:rPr>
              <w:t xml:space="preserve"> </w:t>
            </w:r>
            <w:r w:rsidRPr="003127BD">
              <w:rPr>
                <w:rFonts w:ascii="Times New Roman" w:hAnsi="Times New Roman" w:cs="Times New Roman"/>
                <w:bCs/>
                <w:sz w:val="20"/>
                <w:szCs w:val="20"/>
              </w:rPr>
              <w:t>3. Daljnja digitalizacija usluga iz područja osobnih stanja građana (min. 4 nove usluge)</w:t>
            </w:r>
            <w:r w:rsidR="00DD1803">
              <w:rPr>
                <w:rFonts w:ascii="Times New Roman" w:hAnsi="Times New Roman" w:cs="Times New Roman"/>
                <w:bCs/>
                <w:sz w:val="20"/>
                <w:szCs w:val="20"/>
              </w:rPr>
              <w:t xml:space="preserve"> </w:t>
            </w:r>
            <w:r w:rsidRPr="003127BD">
              <w:rPr>
                <w:rFonts w:ascii="Times New Roman" w:hAnsi="Times New Roman" w:cs="Times New Roman"/>
                <w:bCs/>
                <w:sz w:val="20"/>
                <w:szCs w:val="20"/>
              </w:rPr>
              <w:t>4. Prilagodba i unapređenje postojećih e-usluge iz područja osobnih stanja građana</w:t>
            </w:r>
            <w:r w:rsidR="00DD1803">
              <w:rPr>
                <w:rFonts w:ascii="Times New Roman" w:hAnsi="Times New Roman" w:cs="Times New Roman"/>
                <w:bCs/>
                <w:sz w:val="20"/>
                <w:szCs w:val="20"/>
              </w:rPr>
              <w:t xml:space="preserve"> </w:t>
            </w:r>
            <w:r w:rsidRPr="003127BD">
              <w:rPr>
                <w:rFonts w:ascii="Times New Roman" w:hAnsi="Times New Roman" w:cs="Times New Roman"/>
                <w:bCs/>
                <w:sz w:val="20"/>
                <w:szCs w:val="20"/>
              </w:rPr>
              <w:t>5. Uređeni podaci u novom sustavu</w:t>
            </w:r>
          </w:p>
        </w:tc>
        <w:tc>
          <w:tcPr>
            <w:tcW w:w="655" w:type="dxa"/>
            <w:noWrap/>
            <w:hideMark/>
          </w:tcPr>
          <w:p w14:paraId="0271BAC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MPU</w:t>
            </w:r>
          </w:p>
        </w:tc>
        <w:tc>
          <w:tcPr>
            <w:tcW w:w="856" w:type="dxa"/>
            <w:noWrap/>
            <w:hideMark/>
          </w:tcPr>
          <w:p w14:paraId="6016512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5333691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7653326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70C1893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4BB9B6C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39.705.878 kn</w:t>
            </w:r>
          </w:p>
        </w:tc>
        <w:tc>
          <w:tcPr>
            <w:tcW w:w="816" w:type="dxa"/>
            <w:hideMark/>
          </w:tcPr>
          <w:p w14:paraId="2EA4F7BC"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Sredstva će biti planirana unutar Operativnog programa Konkurentnost i kohezija 2021. - 2027. (PKK) -  uvesti novu proračunsku aktivnost iz izvora 563 Europski fond za regionalni razvoj (EFRR) 85% i 12 </w:t>
            </w:r>
            <w:r w:rsidRPr="003127BD">
              <w:rPr>
                <w:rFonts w:ascii="Times New Roman" w:hAnsi="Times New Roman" w:cs="Times New Roman"/>
                <w:bCs/>
                <w:sz w:val="20"/>
                <w:szCs w:val="20"/>
              </w:rPr>
              <w:lastRenderedPageBreak/>
              <w:t>Sredstva učešća za pomoći 15%</w:t>
            </w:r>
          </w:p>
        </w:tc>
      </w:tr>
      <w:tr w:rsidR="003127BD" w:rsidRPr="003127BD" w14:paraId="6C091674" w14:textId="77777777" w:rsidTr="007D4156">
        <w:trPr>
          <w:trHeight w:val="4260"/>
        </w:trPr>
        <w:tc>
          <w:tcPr>
            <w:tcW w:w="1044" w:type="dxa"/>
            <w:hideMark/>
          </w:tcPr>
          <w:p w14:paraId="413FDE96"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Nadogradnja ZUP IT sustava (ZUP IV) – funkcionalnost slanja pismena u korisnički pretinac stranaka</w:t>
            </w:r>
          </w:p>
        </w:tc>
        <w:tc>
          <w:tcPr>
            <w:tcW w:w="995" w:type="dxa"/>
            <w:hideMark/>
          </w:tcPr>
          <w:p w14:paraId="4A4B04E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U odnosu na upravne postupke potrebno je osigurati mehanizme koji će omogućiti vođenje upravnih postupaka od podnošenja zahtjeva do dostave rješenja i drugih upravnih akata elektroničkim putem. S obzirom da je razvijen jedinstveni informacijski sustav za praćenje i nadzor upravnog postupanja (ZUP IT sustav) kroz </w:t>
            </w:r>
            <w:r w:rsidRPr="003127BD">
              <w:rPr>
                <w:rFonts w:ascii="Times New Roman" w:hAnsi="Times New Roman" w:cs="Times New Roman"/>
                <w:bCs/>
                <w:sz w:val="20"/>
                <w:szCs w:val="20"/>
              </w:rPr>
              <w:lastRenderedPageBreak/>
              <w:t xml:space="preserve">koji će se podaci o tijeku upravnog postupka dostavljati u korisničke pretince stranaka, daljnjim razvojem ovog sustava želi se cjelovito digitalizirati upravni postupak za tijela uključena u ovaj sustav i za upravne stvari za koje se prikupljaju podaci u ovom sustavu omogućavanjem dostave upravnih akata o korisničke pretince građana. Nadalje, u suradnji s drugim javnopravnim tijelima, planira se razviti obrasce zahtjeva za pokretanje upravnih postupaka elektroničkim putem. </w:t>
            </w:r>
          </w:p>
        </w:tc>
        <w:tc>
          <w:tcPr>
            <w:tcW w:w="559" w:type="dxa"/>
            <w:noWrap/>
            <w:hideMark/>
          </w:tcPr>
          <w:p w14:paraId="3B07AE5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1Q/2026.</w:t>
            </w:r>
          </w:p>
        </w:tc>
        <w:tc>
          <w:tcPr>
            <w:tcW w:w="1212" w:type="dxa"/>
            <w:hideMark/>
          </w:tcPr>
          <w:p w14:paraId="30B72D3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 Uspostavljena funkcionalnost dostave upravnih akata u korisnički pretinac stranaka</w:t>
            </w:r>
            <w:r w:rsidRPr="003127BD">
              <w:rPr>
                <w:rFonts w:ascii="Times New Roman" w:hAnsi="Times New Roman" w:cs="Times New Roman"/>
                <w:bCs/>
                <w:sz w:val="20"/>
                <w:szCs w:val="20"/>
              </w:rPr>
              <w:br/>
              <w:t>2. Funkcionalnost izvješćivanja o obavljenim dostavama</w:t>
            </w:r>
          </w:p>
        </w:tc>
        <w:tc>
          <w:tcPr>
            <w:tcW w:w="655" w:type="dxa"/>
            <w:noWrap/>
            <w:hideMark/>
          </w:tcPr>
          <w:p w14:paraId="7E4DB3D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MPU</w:t>
            </w:r>
          </w:p>
        </w:tc>
        <w:tc>
          <w:tcPr>
            <w:tcW w:w="856" w:type="dxa"/>
            <w:noWrap/>
            <w:hideMark/>
          </w:tcPr>
          <w:p w14:paraId="05F9802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4FB4FB8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noWrap/>
            <w:hideMark/>
          </w:tcPr>
          <w:p w14:paraId="6D21605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34792F8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28217D74"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13.235.295 kn</w:t>
            </w:r>
          </w:p>
        </w:tc>
        <w:tc>
          <w:tcPr>
            <w:tcW w:w="816" w:type="dxa"/>
            <w:hideMark/>
          </w:tcPr>
          <w:p w14:paraId="27D68716"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3127BD" w14:paraId="763314ED" w14:textId="77777777" w:rsidTr="007D4156">
        <w:trPr>
          <w:trHeight w:val="2899"/>
        </w:trPr>
        <w:tc>
          <w:tcPr>
            <w:tcW w:w="1044" w:type="dxa"/>
            <w:hideMark/>
          </w:tcPr>
          <w:p w14:paraId="33AF5A93"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lastRenderedPageBreak/>
              <w:t xml:space="preserve">Razvoj e-usluga javne uprave s ciljem povećanja korištenja usluga e-uprave od strane građana - ograničeni poziv </w:t>
            </w:r>
          </w:p>
        </w:tc>
        <w:tc>
          <w:tcPr>
            <w:tcW w:w="995" w:type="dxa"/>
            <w:hideMark/>
          </w:tcPr>
          <w:p w14:paraId="69328BB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Razvoj i nadogradnja te ubrzavanje digitalnih javnih usluga, proizvoda i procesa u kontekstu aktivnosti e-Uprave. Svrha je osigurati povezivanje informacijskih sustava tijela javne uprave iz svih sektora na način da se građanima i poslovnim subjektima pruži što veći broj kompleksnih e-usluga i smanji opterećenje građana i poslovnih subjekata u interakciji s javnom upravom.</w:t>
            </w:r>
          </w:p>
        </w:tc>
        <w:tc>
          <w:tcPr>
            <w:tcW w:w="559" w:type="dxa"/>
            <w:hideMark/>
          </w:tcPr>
          <w:p w14:paraId="5328102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1Q/2026.</w:t>
            </w:r>
          </w:p>
        </w:tc>
        <w:tc>
          <w:tcPr>
            <w:tcW w:w="1212" w:type="dxa"/>
            <w:hideMark/>
          </w:tcPr>
          <w:p w14:paraId="42FF917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Uspostavljene nove e-usluge ili nadograđene e-usluge javne uprave dostupne građanima</w:t>
            </w:r>
          </w:p>
        </w:tc>
        <w:tc>
          <w:tcPr>
            <w:tcW w:w="655" w:type="dxa"/>
            <w:hideMark/>
          </w:tcPr>
          <w:p w14:paraId="617D3788"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hideMark/>
          </w:tcPr>
          <w:p w14:paraId="1BC8556B"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6F81AAC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5C80B9DA"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5166D741"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715CCA8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179.604.990 kn</w:t>
            </w:r>
          </w:p>
        </w:tc>
        <w:tc>
          <w:tcPr>
            <w:tcW w:w="816" w:type="dxa"/>
            <w:hideMark/>
          </w:tcPr>
          <w:p w14:paraId="0FD1944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3127BD" w14:paraId="38C908B3" w14:textId="77777777" w:rsidTr="007D4156">
        <w:trPr>
          <w:trHeight w:val="3165"/>
        </w:trPr>
        <w:tc>
          <w:tcPr>
            <w:tcW w:w="1044" w:type="dxa"/>
            <w:hideMark/>
          </w:tcPr>
          <w:p w14:paraId="20B6C8D4"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 xml:space="preserve">Unaprjeđenje sustava e-Građani i e-Poslovanje u pružanju javnih usluga prema korisnicima </w:t>
            </w:r>
          </w:p>
        </w:tc>
        <w:tc>
          <w:tcPr>
            <w:tcW w:w="995" w:type="dxa"/>
            <w:hideMark/>
          </w:tcPr>
          <w:p w14:paraId="1F4322E4"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Suvremeno poslovanje podrazumijeva i zadovoljavanje javnog interesa u smislu prepoznavanja korisnikovih potreba o čemu TDU moraju voditi brigu. Prilagodbom funkcionalnih zahtjeva i unaprjeđenjem IT </w:t>
            </w:r>
            <w:r w:rsidRPr="003127BD">
              <w:rPr>
                <w:rFonts w:ascii="Times New Roman" w:hAnsi="Times New Roman" w:cs="Times New Roman"/>
                <w:bCs/>
                <w:sz w:val="20"/>
                <w:szCs w:val="20"/>
              </w:rPr>
              <w:lastRenderedPageBreak/>
              <w:t>infrastrukture, uz jačanje korisničke podrške i brige o korisnicima, krajnji je cilj jačanje zadovoljstva korisnika, kako građana tako i poslovnih subjekata, kroz osiguravanje usluga kojima će se odgovarati na njihove potrebe, omogućiti ostvarivanje njihovih prava i osigurati protočnu i učinkovitu komunikaciju s javnom upravom.</w:t>
            </w:r>
          </w:p>
        </w:tc>
        <w:tc>
          <w:tcPr>
            <w:tcW w:w="559" w:type="dxa"/>
            <w:hideMark/>
          </w:tcPr>
          <w:p w14:paraId="6D9E4F4E"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4Q/2025.</w:t>
            </w:r>
          </w:p>
        </w:tc>
        <w:tc>
          <w:tcPr>
            <w:tcW w:w="1212" w:type="dxa"/>
            <w:hideMark/>
          </w:tcPr>
          <w:p w14:paraId="6D55524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Poboljšani i nadograđeni sustavi eGrađani i ePoslovanje</w:t>
            </w:r>
          </w:p>
        </w:tc>
        <w:tc>
          <w:tcPr>
            <w:tcW w:w="655" w:type="dxa"/>
            <w:hideMark/>
          </w:tcPr>
          <w:p w14:paraId="7D43549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hideMark/>
          </w:tcPr>
          <w:p w14:paraId="1B12535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2913387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616B337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68A1E8BE"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266AA7A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13.439.805 kn</w:t>
            </w:r>
          </w:p>
        </w:tc>
        <w:tc>
          <w:tcPr>
            <w:tcW w:w="816" w:type="dxa"/>
            <w:hideMark/>
          </w:tcPr>
          <w:p w14:paraId="64AF6BD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Sredstva će biti planirana unutar Operativnog programa Konkurentnost i kohezija 2021. - 2027. (PKK) -  uvesti novu proračunsku aktivnost iz izvora 563 Europski fond za regionalni </w:t>
            </w:r>
            <w:r w:rsidRPr="003127BD">
              <w:rPr>
                <w:rFonts w:ascii="Times New Roman" w:hAnsi="Times New Roman" w:cs="Times New Roman"/>
                <w:bCs/>
                <w:sz w:val="20"/>
                <w:szCs w:val="20"/>
              </w:rPr>
              <w:lastRenderedPageBreak/>
              <w:t>razvoj (EFRR) 85% i 12 Sredstva učešća za pomoći 15%</w:t>
            </w:r>
          </w:p>
        </w:tc>
      </w:tr>
      <w:tr w:rsidR="003127BD" w:rsidRPr="003127BD" w14:paraId="474070AF" w14:textId="77777777" w:rsidTr="007D4156">
        <w:trPr>
          <w:trHeight w:val="3702"/>
        </w:trPr>
        <w:tc>
          <w:tcPr>
            <w:tcW w:w="1044" w:type="dxa"/>
            <w:hideMark/>
          </w:tcPr>
          <w:p w14:paraId="135F7C98"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Eksternalizacija NIAS usluga za potrebe gospodarstva i NGO sektora</w:t>
            </w:r>
          </w:p>
        </w:tc>
        <w:tc>
          <w:tcPr>
            <w:tcW w:w="995" w:type="dxa"/>
            <w:hideMark/>
          </w:tcPr>
          <w:p w14:paraId="513B8439"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Poticanje bržeg i jednostavnijeg razvoja te unaprjeđenja različitih komercijalnih i drugih online usluga, kada se radi o uslugama koje zahtijevaju pouzdani elektronički identitet korisnika u pristupu i korištenju takvih usluga. Nadalje, rasterećenje i smanjenje dijela troškova koje poslovni subjekti moraju ulagati na </w:t>
            </w:r>
            <w:r w:rsidRPr="003127BD">
              <w:rPr>
                <w:rFonts w:ascii="Times New Roman" w:hAnsi="Times New Roman" w:cs="Times New Roman"/>
                <w:bCs/>
                <w:sz w:val="20"/>
                <w:szCs w:val="20"/>
              </w:rPr>
              <w:lastRenderedPageBreak/>
              <w:t>svojoj strani u razvoj i provedbu IAM sustava i servisa za uspostavu i upravljanje elektroničke identifikacije i autentifikacije isključivo svojih korisnika; Povećanje povjerenja na strani građana i poticanje korištenja online usluga poslovnih subjekata te kroz jednostavniju i istovrsnu prijavu na online usluge poslovnih subjekata od strane građana, na sličan način kao i kada koriste javne usluge.</w:t>
            </w:r>
          </w:p>
        </w:tc>
        <w:tc>
          <w:tcPr>
            <w:tcW w:w="559" w:type="dxa"/>
            <w:hideMark/>
          </w:tcPr>
          <w:p w14:paraId="734C509A"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4Q/2025.</w:t>
            </w:r>
          </w:p>
        </w:tc>
        <w:tc>
          <w:tcPr>
            <w:tcW w:w="1212" w:type="dxa"/>
            <w:hideMark/>
          </w:tcPr>
          <w:p w14:paraId="51BD123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NIAS sustav prilagođen za pružanje poslovnih subjekata</w:t>
            </w:r>
          </w:p>
        </w:tc>
        <w:tc>
          <w:tcPr>
            <w:tcW w:w="655" w:type="dxa"/>
            <w:hideMark/>
          </w:tcPr>
          <w:p w14:paraId="5D71966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SDURDD</w:t>
            </w:r>
          </w:p>
        </w:tc>
        <w:tc>
          <w:tcPr>
            <w:tcW w:w="856" w:type="dxa"/>
            <w:hideMark/>
          </w:tcPr>
          <w:p w14:paraId="69A320D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322FBFE2"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6CE10A8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105DDD8C"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7C090B1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30.666.968 kn</w:t>
            </w:r>
          </w:p>
        </w:tc>
        <w:tc>
          <w:tcPr>
            <w:tcW w:w="816" w:type="dxa"/>
            <w:hideMark/>
          </w:tcPr>
          <w:p w14:paraId="01FC4DC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3127BD" w14:paraId="3A963A14" w14:textId="77777777" w:rsidTr="007D4156">
        <w:trPr>
          <w:trHeight w:val="3402"/>
        </w:trPr>
        <w:tc>
          <w:tcPr>
            <w:tcW w:w="1044" w:type="dxa"/>
            <w:hideMark/>
          </w:tcPr>
          <w:p w14:paraId="0E2FB58F" w14:textId="77777777" w:rsidR="007D4156" w:rsidRPr="007D4156" w:rsidRDefault="007D4156" w:rsidP="003127BD">
            <w:pPr>
              <w:rPr>
                <w:rFonts w:ascii="Times New Roman" w:hAnsi="Times New Roman" w:cs="Times New Roman"/>
                <w:b/>
                <w:bCs/>
                <w:sz w:val="20"/>
                <w:szCs w:val="20"/>
              </w:rPr>
            </w:pPr>
            <w:r w:rsidRPr="007D4156">
              <w:rPr>
                <w:rFonts w:ascii="Times New Roman" w:hAnsi="Times New Roman" w:cs="Times New Roman"/>
                <w:b/>
                <w:bCs/>
                <w:sz w:val="20"/>
                <w:szCs w:val="20"/>
              </w:rPr>
              <w:t xml:space="preserve">Open data portal 2.0 </w:t>
            </w:r>
          </w:p>
        </w:tc>
        <w:tc>
          <w:tcPr>
            <w:tcW w:w="995" w:type="dxa"/>
            <w:hideMark/>
          </w:tcPr>
          <w:p w14:paraId="5754DA1B"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Uz ispunjenje zakonske regulative o obvezi osiguranja pristupa visoko vrijednih podataka u strojno čitljivom obliku, osnovni cilj je potaknuti intenzivniju suradnju javnog s privatnim sektorom. </w:t>
            </w:r>
            <w:r w:rsidRPr="003127BD">
              <w:rPr>
                <w:rFonts w:ascii="Times New Roman" w:hAnsi="Times New Roman" w:cs="Times New Roman"/>
                <w:bCs/>
                <w:sz w:val="20"/>
                <w:szCs w:val="20"/>
              </w:rPr>
              <w:br/>
              <w:t xml:space="preserve">Mjera je usmjerena na </w:t>
            </w:r>
            <w:r w:rsidRPr="003127BD">
              <w:rPr>
                <w:rFonts w:ascii="Times New Roman" w:hAnsi="Times New Roman" w:cs="Times New Roman"/>
                <w:bCs/>
                <w:sz w:val="20"/>
                <w:szCs w:val="20"/>
              </w:rPr>
              <w:lastRenderedPageBreak/>
              <w:t>sektor digitalnih tehnologija, odnosno jačanje tzv. podatkovne ekonomije, koji će korištenjem visokovrijednih skupova podataka omogućiti privatnom sektoru razvoj novih usluga (primarno e-usluga) korištenjem javnih, otvorenih, strojno čitljivih podataka tijela javne vlasti uz efekt posrednog povećanja transparentnosti javne uprave.</w:t>
            </w:r>
          </w:p>
        </w:tc>
        <w:tc>
          <w:tcPr>
            <w:tcW w:w="559" w:type="dxa"/>
            <w:hideMark/>
          </w:tcPr>
          <w:p w14:paraId="6D402F9F"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4Q/2026.</w:t>
            </w:r>
          </w:p>
        </w:tc>
        <w:tc>
          <w:tcPr>
            <w:tcW w:w="1212" w:type="dxa"/>
            <w:hideMark/>
          </w:tcPr>
          <w:p w14:paraId="526FE397" w14:textId="10FBC4BF" w:rsidR="007D4156" w:rsidRPr="003127BD" w:rsidRDefault="00B3735C" w:rsidP="003127BD">
            <w:pPr>
              <w:rPr>
                <w:rFonts w:ascii="Times New Roman" w:hAnsi="Times New Roman" w:cs="Times New Roman"/>
                <w:bCs/>
                <w:sz w:val="20"/>
                <w:szCs w:val="20"/>
              </w:rPr>
            </w:pPr>
            <w:r>
              <w:rPr>
                <w:rFonts w:ascii="Times New Roman" w:hAnsi="Times New Roman" w:cs="Times New Roman"/>
                <w:bCs/>
                <w:sz w:val="20"/>
                <w:szCs w:val="20"/>
              </w:rPr>
              <w:t>U</w:t>
            </w:r>
            <w:r w:rsidR="007D4156" w:rsidRPr="003127BD">
              <w:rPr>
                <w:rFonts w:ascii="Times New Roman" w:hAnsi="Times New Roman" w:cs="Times New Roman"/>
                <w:bCs/>
                <w:sz w:val="20"/>
                <w:szCs w:val="20"/>
              </w:rPr>
              <w:t>ključivanje 30 izdavača skupova podataka koji su vlasnici visokovrijednih skupova podataka</w:t>
            </w:r>
            <w:r w:rsidR="00DD1803">
              <w:rPr>
                <w:rFonts w:ascii="Times New Roman" w:hAnsi="Times New Roman" w:cs="Times New Roman"/>
                <w:bCs/>
                <w:sz w:val="20"/>
                <w:szCs w:val="20"/>
              </w:rPr>
              <w:t xml:space="preserve"> </w:t>
            </w:r>
            <w:r w:rsidR="007D4156" w:rsidRPr="003127BD">
              <w:rPr>
                <w:rFonts w:ascii="Times New Roman" w:hAnsi="Times New Roman" w:cs="Times New Roman"/>
                <w:bCs/>
                <w:sz w:val="20"/>
                <w:szCs w:val="20"/>
              </w:rPr>
              <w:t>objavljivanje velike količinu (visokovrijednih) setova otvorenih podataka prema popisu visokovrijednih podataka u Open data direktivi</w:t>
            </w:r>
            <w:r w:rsidR="00DD1803">
              <w:rPr>
                <w:rFonts w:ascii="Times New Roman" w:hAnsi="Times New Roman" w:cs="Times New Roman"/>
                <w:bCs/>
                <w:sz w:val="20"/>
                <w:szCs w:val="20"/>
              </w:rPr>
              <w:t xml:space="preserve"> </w:t>
            </w:r>
            <w:r w:rsidR="007D4156" w:rsidRPr="003127BD">
              <w:rPr>
                <w:rFonts w:ascii="Times New Roman" w:hAnsi="Times New Roman" w:cs="Times New Roman"/>
                <w:bCs/>
                <w:sz w:val="20"/>
                <w:szCs w:val="20"/>
              </w:rPr>
              <w:t xml:space="preserve">aktivnije uključivanje svih </w:t>
            </w:r>
            <w:r w:rsidR="007D4156" w:rsidRPr="003127BD">
              <w:rPr>
                <w:rFonts w:ascii="Times New Roman" w:hAnsi="Times New Roman" w:cs="Times New Roman"/>
                <w:bCs/>
                <w:sz w:val="20"/>
                <w:szCs w:val="20"/>
              </w:rPr>
              <w:lastRenderedPageBreak/>
              <w:t>dionika u sustav otvorenih podataka</w:t>
            </w:r>
          </w:p>
        </w:tc>
        <w:tc>
          <w:tcPr>
            <w:tcW w:w="655" w:type="dxa"/>
            <w:hideMark/>
          </w:tcPr>
          <w:p w14:paraId="297B0960"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lastRenderedPageBreak/>
              <w:t>SDURDD</w:t>
            </w:r>
          </w:p>
        </w:tc>
        <w:tc>
          <w:tcPr>
            <w:tcW w:w="856" w:type="dxa"/>
            <w:hideMark/>
          </w:tcPr>
          <w:p w14:paraId="70236277"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18857115"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5250043A"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691" w:type="dxa"/>
            <w:hideMark/>
          </w:tcPr>
          <w:p w14:paraId="62BEF77D"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0 kn</w:t>
            </w:r>
          </w:p>
        </w:tc>
        <w:tc>
          <w:tcPr>
            <w:tcW w:w="856" w:type="dxa"/>
            <w:hideMark/>
          </w:tcPr>
          <w:p w14:paraId="53296F1E" w14:textId="77777777" w:rsidR="007D4156" w:rsidRPr="003127BD" w:rsidRDefault="007D4156" w:rsidP="007D4156">
            <w:pPr>
              <w:rPr>
                <w:rFonts w:ascii="Times New Roman" w:hAnsi="Times New Roman" w:cs="Times New Roman"/>
                <w:bCs/>
                <w:sz w:val="20"/>
                <w:szCs w:val="20"/>
              </w:rPr>
            </w:pPr>
            <w:r w:rsidRPr="003127BD">
              <w:rPr>
                <w:rFonts w:ascii="Times New Roman" w:hAnsi="Times New Roman" w:cs="Times New Roman"/>
                <w:bCs/>
                <w:sz w:val="20"/>
                <w:szCs w:val="20"/>
              </w:rPr>
              <w:t>6.719.910 kn</w:t>
            </w:r>
          </w:p>
        </w:tc>
        <w:tc>
          <w:tcPr>
            <w:tcW w:w="816" w:type="dxa"/>
            <w:hideMark/>
          </w:tcPr>
          <w:p w14:paraId="7798C3A3" w14:textId="77777777" w:rsidR="007D4156" w:rsidRPr="003127BD" w:rsidRDefault="007D4156" w:rsidP="003127BD">
            <w:pPr>
              <w:rPr>
                <w:rFonts w:ascii="Times New Roman" w:hAnsi="Times New Roman" w:cs="Times New Roman"/>
                <w:bCs/>
                <w:sz w:val="20"/>
                <w:szCs w:val="20"/>
              </w:rPr>
            </w:pPr>
            <w:r w:rsidRPr="003127BD">
              <w:rPr>
                <w:rFonts w:ascii="Times New Roman" w:hAnsi="Times New Roman" w:cs="Times New Roman"/>
                <w:bCs/>
                <w:sz w:val="20"/>
                <w:szCs w:val="20"/>
              </w:rPr>
              <w:t xml:space="preserve">Sredstva će biti planirana unutar Operativnog programa Konkurentnost i kohezija 2021. - 2027. (PKK) -  uvesti novu proračunsku aktivnost iz izvora 563 Europski fond za regionalni razvoj (EFRR) </w:t>
            </w:r>
            <w:r w:rsidRPr="003127BD">
              <w:rPr>
                <w:rFonts w:ascii="Times New Roman" w:hAnsi="Times New Roman" w:cs="Times New Roman"/>
                <w:bCs/>
                <w:sz w:val="20"/>
                <w:szCs w:val="20"/>
              </w:rPr>
              <w:lastRenderedPageBreak/>
              <w:t>85% i 12 Sredstva učešća za pomoći 15%</w:t>
            </w:r>
          </w:p>
        </w:tc>
      </w:tr>
      <w:tr w:rsidR="003127BD" w:rsidRPr="00B3735C" w14:paraId="5259531B" w14:textId="77777777" w:rsidTr="007D4156">
        <w:trPr>
          <w:trHeight w:val="3342"/>
        </w:trPr>
        <w:tc>
          <w:tcPr>
            <w:tcW w:w="1044" w:type="dxa"/>
            <w:hideMark/>
          </w:tcPr>
          <w:p w14:paraId="303EE077" w14:textId="77777777" w:rsidR="007D4156" w:rsidRPr="007D4156" w:rsidRDefault="007D4156" w:rsidP="00B3735C">
            <w:pPr>
              <w:rPr>
                <w:rFonts w:ascii="Times New Roman" w:hAnsi="Times New Roman" w:cs="Times New Roman"/>
                <w:b/>
                <w:bCs/>
                <w:sz w:val="20"/>
                <w:szCs w:val="20"/>
              </w:rPr>
            </w:pPr>
            <w:r w:rsidRPr="007D4156">
              <w:rPr>
                <w:rFonts w:ascii="Times New Roman" w:hAnsi="Times New Roman" w:cs="Times New Roman"/>
                <w:b/>
                <w:bCs/>
                <w:sz w:val="20"/>
                <w:szCs w:val="20"/>
              </w:rPr>
              <w:t>Sigurnost kao usluga u sklopu CDU (CaaS) +K25:K26</w:t>
            </w:r>
          </w:p>
        </w:tc>
        <w:tc>
          <w:tcPr>
            <w:tcW w:w="995" w:type="dxa"/>
            <w:hideMark/>
          </w:tcPr>
          <w:p w14:paraId="77360ED7"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Sigurnost kao usluga u sklopu CDU služit će tijelima kao usluga za stjecanje osnovnih i naprednih znanja potrebnih za sprječavanje kibernetičkih napada, ali i za njihovu pravovremenu detekciju i suzbijanje, upotrebom sofisticiranih alata za prevenciju od kibernetičkih </w:t>
            </w:r>
            <w:r w:rsidRPr="00B3735C">
              <w:rPr>
                <w:rFonts w:ascii="Times New Roman" w:hAnsi="Times New Roman" w:cs="Times New Roman"/>
                <w:bCs/>
                <w:sz w:val="20"/>
                <w:szCs w:val="20"/>
              </w:rPr>
              <w:lastRenderedPageBreak/>
              <w:t>napada. Mjerom će se uz postojeće unaprjeđenje poslovnog okruženja zadanih projektom CDU, izravno djelovati na sigurnost javnih usluga za građane i poslovne subjekte, kroz značajno smanjenje mogućnosti kibernetičkih napada i posljedica od istih. Uz to, uspostavljenom uslugom će se smanjiti   izdvajanja za sigurnost, odnosno optimizirati operativni troškovi.</w:t>
            </w:r>
          </w:p>
        </w:tc>
        <w:tc>
          <w:tcPr>
            <w:tcW w:w="559" w:type="dxa"/>
            <w:hideMark/>
          </w:tcPr>
          <w:p w14:paraId="6FE45799"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1Q/2026.</w:t>
            </w:r>
          </w:p>
        </w:tc>
        <w:tc>
          <w:tcPr>
            <w:tcW w:w="1212" w:type="dxa"/>
            <w:hideMark/>
          </w:tcPr>
          <w:p w14:paraId="26016E69"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Uspostavljena usluga - Sigurnost kao usluga u CDU (CaaS)</w:t>
            </w:r>
          </w:p>
        </w:tc>
        <w:tc>
          <w:tcPr>
            <w:tcW w:w="655" w:type="dxa"/>
            <w:hideMark/>
          </w:tcPr>
          <w:p w14:paraId="1FF5864B"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SDURDD</w:t>
            </w:r>
          </w:p>
        </w:tc>
        <w:tc>
          <w:tcPr>
            <w:tcW w:w="856" w:type="dxa"/>
            <w:hideMark/>
          </w:tcPr>
          <w:p w14:paraId="292D9E0D"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5615120B"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0162081E"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691" w:type="dxa"/>
            <w:hideMark/>
          </w:tcPr>
          <w:p w14:paraId="28DE0B64"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6967C069"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6.719.910 kn</w:t>
            </w:r>
          </w:p>
        </w:tc>
        <w:tc>
          <w:tcPr>
            <w:tcW w:w="816" w:type="dxa"/>
            <w:hideMark/>
          </w:tcPr>
          <w:p w14:paraId="4C4D739E"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B3735C" w14:paraId="3278EF76" w14:textId="77777777" w:rsidTr="007D4156">
        <w:trPr>
          <w:trHeight w:val="4819"/>
        </w:trPr>
        <w:tc>
          <w:tcPr>
            <w:tcW w:w="1044" w:type="dxa"/>
            <w:hideMark/>
          </w:tcPr>
          <w:p w14:paraId="47D6236D" w14:textId="77777777" w:rsidR="007D4156" w:rsidRPr="007D4156" w:rsidRDefault="007D4156" w:rsidP="00B3735C">
            <w:pPr>
              <w:rPr>
                <w:rFonts w:ascii="Times New Roman" w:hAnsi="Times New Roman" w:cs="Times New Roman"/>
                <w:b/>
                <w:bCs/>
                <w:sz w:val="20"/>
                <w:szCs w:val="20"/>
              </w:rPr>
            </w:pPr>
            <w:r w:rsidRPr="007D4156">
              <w:rPr>
                <w:rFonts w:ascii="Times New Roman" w:hAnsi="Times New Roman" w:cs="Times New Roman"/>
                <w:b/>
                <w:bCs/>
                <w:sz w:val="20"/>
                <w:szCs w:val="20"/>
              </w:rPr>
              <w:lastRenderedPageBreak/>
              <w:t>Primjena umjetne inteligencije u pravnim propisima</w:t>
            </w:r>
          </w:p>
        </w:tc>
        <w:tc>
          <w:tcPr>
            <w:tcW w:w="995" w:type="dxa"/>
            <w:hideMark/>
          </w:tcPr>
          <w:p w14:paraId="7D19E6A8"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Središnji katalog službenih dokumenata Republike Hrvatske predstavlja središnje mjesto za trajan, besplatan i slobodan pristup službenim dokumentima Republike Hrvatske. Sastavni dio kataloga je zbirka hrvatskih pravnih propisa, zbirka propisa jedinica lokalne i područne (regionalne) samouprave i zbirka međunarodnih ugovora kojih je RH potpisnica. Pravni propisi sadržavaju informacije o tome da li je propis važeći ili nije, datum stupanja na snagu i datum prestanka važenja, poveznicu na sve izmjene i dopune, poveznicu na propis koji je nakon njega stupio na snagu, popis i poveznice </w:t>
            </w:r>
            <w:r w:rsidRPr="00B3735C">
              <w:rPr>
                <w:rFonts w:ascii="Times New Roman" w:hAnsi="Times New Roman" w:cs="Times New Roman"/>
                <w:bCs/>
                <w:sz w:val="20"/>
                <w:szCs w:val="20"/>
              </w:rPr>
              <w:lastRenderedPageBreak/>
              <w:t xml:space="preserve">na sve podzakonske akte koji proizlaze iz tog propisa.  Provedbom mjere, tijelima javne uprave, građanima i poslovnim subjektima omogućit će se  brži, lakši i personaliziraniji pristup pravnim propisima hrvatskog zakonodavstva, te prilagođavanje kataloga informacijskim potrebama krajnjih korisnika. </w:t>
            </w:r>
          </w:p>
        </w:tc>
        <w:tc>
          <w:tcPr>
            <w:tcW w:w="559" w:type="dxa"/>
            <w:hideMark/>
          </w:tcPr>
          <w:p w14:paraId="65B2C7F8"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3Q/2025.</w:t>
            </w:r>
          </w:p>
        </w:tc>
        <w:tc>
          <w:tcPr>
            <w:tcW w:w="1212" w:type="dxa"/>
            <w:hideMark/>
          </w:tcPr>
          <w:p w14:paraId="16AE6890"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Razvijen sustav</w:t>
            </w:r>
          </w:p>
        </w:tc>
        <w:tc>
          <w:tcPr>
            <w:tcW w:w="655" w:type="dxa"/>
            <w:hideMark/>
          </w:tcPr>
          <w:p w14:paraId="3BEE0C44"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SDURDD</w:t>
            </w:r>
          </w:p>
        </w:tc>
        <w:tc>
          <w:tcPr>
            <w:tcW w:w="856" w:type="dxa"/>
            <w:hideMark/>
          </w:tcPr>
          <w:p w14:paraId="36597022"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202FA39E"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5EA4A104"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691" w:type="dxa"/>
            <w:hideMark/>
          </w:tcPr>
          <w:p w14:paraId="6CC1EE44"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56" w:type="dxa"/>
            <w:hideMark/>
          </w:tcPr>
          <w:p w14:paraId="66DEA268"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13.439.805 kn</w:t>
            </w:r>
          </w:p>
        </w:tc>
        <w:tc>
          <w:tcPr>
            <w:tcW w:w="816" w:type="dxa"/>
            <w:hideMark/>
          </w:tcPr>
          <w:p w14:paraId="06096BCB" w14:textId="77777777" w:rsidR="007D4156" w:rsidRPr="00B3735C" w:rsidRDefault="007D4156" w:rsidP="00B3735C">
            <w:pPr>
              <w:rPr>
                <w:rFonts w:ascii="Times New Roman" w:hAnsi="Times New Roman" w:cs="Times New Roman"/>
                <w:bCs/>
                <w:sz w:val="20"/>
                <w:szCs w:val="20"/>
              </w:rPr>
            </w:pPr>
            <w:r w:rsidRPr="00B3735C">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3127BD" w:rsidRPr="007D4156" w14:paraId="38B35639" w14:textId="77777777" w:rsidTr="00DD1803">
        <w:trPr>
          <w:trHeight w:val="923"/>
        </w:trPr>
        <w:tc>
          <w:tcPr>
            <w:tcW w:w="1044" w:type="dxa"/>
            <w:hideMark/>
          </w:tcPr>
          <w:p w14:paraId="64875BDB" w14:textId="77777777" w:rsidR="007D4156" w:rsidRPr="007D4156" w:rsidRDefault="007D4156" w:rsidP="007D4156">
            <w:pPr>
              <w:ind w:firstLine="708"/>
              <w:rPr>
                <w:rFonts w:ascii="Times New Roman" w:hAnsi="Times New Roman" w:cs="Times New Roman"/>
                <w:b/>
                <w:bCs/>
                <w:sz w:val="20"/>
                <w:szCs w:val="20"/>
              </w:rPr>
            </w:pPr>
          </w:p>
        </w:tc>
        <w:tc>
          <w:tcPr>
            <w:tcW w:w="995" w:type="dxa"/>
            <w:hideMark/>
          </w:tcPr>
          <w:p w14:paraId="37DBC02B" w14:textId="77777777" w:rsidR="007D4156" w:rsidRPr="007D4156" w:rsidRDefault="007D4156" w:rsidP="007D4156">
            <w:pPr>
              <w:ind w:firstLine="708"/>
              <w:rPr>
                <w:rFonts w:ascii="Times New Roman" w:hAnsi="Times New Roman" w:cs="Times New Roman"/>
                <w:b/>
                <w:bCs/>
                <w:sz w:val="20"/>
                <w:szCs w:val="20"/>
              </w:rPr>
            </w:pPr>
            <w:r w:rsidRPr="007D4156">
              <w:rPr>
                <w:rFonts w:ascii="Times New Roman" w:hAnsi="Times New Roman" w:cs="Times New Roman"/>
                <w:b/>
                <w:bCs/>
                <w:sz w:val="20"/>
                <w:szCs w:val="20"/>
              </w:rPr>
              <w:t> </w:t>
            </w:r>
          </w:p>
        </w:tc>
        <w:tc>
          <w:tcPr>
            <w:tcW w:w="559" w:type="dxa"/>
            <w:hideMark/>
          </w:tcPr>
          <w:p w14:paraId="046802C6" w14:textId="77777777" w:rsidR="007D4156" w:rsidRPr="007D4156" w:rsidRDefault="007D4156" w:rsidP="007D4156">
            <w:pPr>
              <w:ind w:firstLine="708"/>
              <w:rPr>
                <w:rFonts w:ascii="Times New Roman" w:hAnsi="Times New Roman" w:cs="Times New Roman"/>
                <w:b/>
                <w:bCs/>
                <w:sz w:val="20"/>
                <w:szCs w:val="20"/>
              </w:rPr>
            </w:pPr>
            <w:r w:rsidRPr="007D4156">
              <w:rPr>
                <w:rFonts w:ascii="Times New Roman" w:hAnsi="Times New Roman" w:cs="Times New Roman"/>
                <w:b/>
                <w:bCs/>
                <w:sz w:val="20"/>
                <w:szCs w:val="20"/>
              </w:rPr>
              <w:t> </w:t>
            </w:r>
          </w:p>
        </w:tc>
        <w:tc>
          <w:tcPr>
            <w:tcW w:w="1212" w:type="dxa"/>
            <w:hideMark/>
          </w:tcPr>
          <w:p w14:paraId="253F0E8B" w14:textId="78CA7EA3" w:rsidR="007D4156" w:rsidRPr="007D4156" w:rsidRDefault="007D4156" w:rsidP="00DD1803">
            <w:pPr>
              <w:jc w:val="center"/>
              <w:rPr>
                <w:rFonts w:ascii="Times New Roman" w:hAnsi="Times New Roman" w:cs="Times New Roman"/>
                <w:b/>
                <w:bCs/>
                <w:sz w:val="20"/>
                <w:szCs w:val="20"/>
              </w:rPr>
            </w:pPr>
            <w:r w:rsidRPr="007D4156">
              <w:rPr>
                <w:rFonts w:ascii="Times New Roman" w:hAnsi="Times New Roman" w:cs="Times New Roman"/>
                <w:b/>
                <w:bCs/>
                <w:sz w:val="20"/>
                <w:szCs w:val="20"/>
              </w:rPr>
              <w:t>UKUPNO, trošak provedbe, po godinama</w:t>
            </w:r>
          </w:p>
        </w:tc>
        <w:tc>
          <w:tcPr>
            <w:tcW w:w="655" w:type="dxa"/>
            <w:hideMark/>
          </w:tcPr>
          <w:p w14:paraId="7F1DAF34" w14:textId="77777777" w:rsidR="007D4156" w:rsidRPr="007D4156" w:rsidRDefault="007D4156" w:rsidP="007D4156">
            <w:pPr>
              <w:ind w:firstLine="708"/>
              <w:rPr>
                <w:rFonts w:ascii="Times New Roman" w:hAnsi="Times New Roman" w:cs="Times New Roman"/>
                <w:b/>
                <w:bCs/>
                <w:sz w:val="20"/>
                <w:szCs w:val="20"/>
              </w:rPr>
            </w:pPr>
            <w:r w:rsidRPr="007D4156">
              <w:rPr>
                <w:rFonts w:ascii="Times New Roman" w:hAnsi="Times New Roman" w:cs="Times New Roman"/>
                <w:b/>
                <w:bCs/>
                <w:sz w:val="20"/>
                <w:szCs w:val="20"/>
              </w:rPr>
              <w:t> </w:t>
            </w:r>
          </w:p>
        </w:tc>
        <w:tc>
          <w:tcPr>
            <w:tcW w:w="856" w:type="dxa"/>
            <w:hideMark/>
          </w:tcPr>
          <w:p w14:paraId="30D74D63" w14:textId="77777777" w:rsidR="007D4156" w:rsidRPr="007D4156" w:rsidRDefault="007D4156" w:rsidP="007D4156">
            <w:pPr>
              <w:rPr>
                <w:rFonts w:ascii="Times New Roman" w:hAnsi="Times New Roman" w:cs="Times New Roman"/>
                <w:b/>
                <w:bCs/>
                <w:sz w:val="20"/>
                <w:szCs w:val="20"/>
              </w:rPr>
            </w:pPr>
            <w:r w:rsidRPr="007D4156">
              <w:rPr>
                <w:rFonts w:ascii="Times New Roman" w:hAnsi="Times New Roman" w:cs="Times New Roman"/>
                <w:b/>
                <w:bCs/>
                <w:sz w:val="20"/>
                <w:szCs w:val="20"/>
              </w:rPr>
              <w:t>341.141.012 kn</w:t>
            </w:r>
          </w:p>
        </w:tc>
        <w:tc>
          <w:tcPr>
            <w:tcW w:w="856" w:type="dxa"/>
            <w:hideMark/>
          </w:tcPr>
          <w:p w14:paraId="4EC08D3B" w14:textId="77777777" w:rsidR="007D4156" w:rsidRPr="007D4156" w:rsidRDefault="007D4156" w:rsidP="007D4156">
            <w:pPr>
              <w:rPr>
                <w:rFonts w:ascii="Times New Roman" w:hAnsi="Times New Roman" w:cs="Times New Roman"/>
                <w:b/>
                <w:bCs/>
                <w:sz w:val="20"/>
                <w:szCs w:val="20"/>
              </w:rPr>
            </w:pPr>
            <w:r w:rsidRPr="007D4156">
              <w:rPr>
                <w:rFonts w:ascii="Times New Roman" w:hAnsi="Times New Roman" w:cs="Times New Roman"/>
                <w:b/>
                <w:bCs/>
                <w:sz w:val="20"/>
                <w:szCs w:val="20"/>
              </w:rPr>
              <w:t>199.469.310 kn</w:t>
            </w:r>
          </w:p>
        </w:tc>
        <w:tc>
          <w:tcPr>
            <w:tcW w:w="856" w:type="dxa"/>
            <w:hideMark/>
          </w:tcPr>
          <w:p w14:paraId="4BF6E819" w14:textId="77777777" w:rsidR="007D4156" w:rsidRPr="007D4156" w:rsidRDefault="007D4156" w:rsidP="007D4156">
            <w:pPr>
              <w:rPr>
                <w:rFonts w:ascii="Times New Roman" w:hAnsi="Times New Roman" w:cs="Times New Roman"/>
                <w:b/>
                <w:bCs/>
                <w:sz w:val="20"/>
                <w:szCs w:val="20"/>
              </w:rPr>
            </w:pPr>
            <w:r w:rsidRPr="007D4156">
              <w:rPr>
                <w:rFonts w:ascii="Times New Roman" w:hAnsi="Times New Roman" w:cs="Times New Roman"/>
                <w:b/>
                <w:bCs/>
                <w:sz w:val="20"/>
                <w:szCs w:val="20"/>
              </w:rPr>
              <w:t>264.534.218 kn</w:t>
            </w:r>
          </w:p>
        </w:tc>
        <w:tc>
          <w:tcPr>
            <w:tcW w:w="691" w:type="dxa"/>
            <w:hideMark/>
          </w:tcPr>
          <w:p w14:paraId="5A32F4DA" w14:textId="77777777" w:rsidR="007D4156" w:rsidRPr="007D4156" w:rsidRDefault="007D4156" w:rsidP="007D4156">
            <w:pPr>
              <w:rPr>
                <w:rFonts w:ascii="Times New Roman" w:hAnsi="Times New Roman" w:cs="Times New Roman"/>
                <w:b/>
                <w:bCs/>
                <w:sz w:val="20"/>
                <w:szCs w:val="20"/>
              </w:rPr>
            </w:pPr>
            <w:r w:rsidRPr="007D4156">
              <w:rPr>
                <w:rFonts w:ascii="Times New Roman" w:hAnsi="Times New Roman" w:cs="Times New Roman"/>
                <w:b/>
                <w:bCs/>
                <w:sz w:val="20"/>
                <w:szCs w:val="20"/>
              </w:rPr>
              <w:t>805.144.540 kn</w:t>
            </w:r>
          </w:p>
        </w:tc>
        <w:tc>
          <w:tcPr>
            <w:tcW w:w="856" w:type="dxa"/>
            <w:hideMark/>
          </w:tcPr>
          <w:p w14:paraId="6FE82D01" w14:textId="77777777" w:rsidR="007D4156" w:rsidRPr="007D4156" w:rsidRDefault="007D4156" w:rsidP="007D4156">
            <w:pPr>
              <w:rPr>
                <w:rFonts w:ascii="Times New Roman" w:hAnsi="Times New Roman" w:cs="Times New Roman"/>
                <w:b/>
                <w:bCs/>
                <w:sz w:val="20"/>
                <w:szCs w:val="20"/>
              </w:rPr>
            </w:pPr>
            <w:r w:rsidRPr="007D4156">
              <w:rPr>
                <w:rFonts w:ascii="Times New Roman" w:hAnsi="Times New Roman" w:cs="Times New Roman"/>
                <w:b/>
                <w:bCs/>
                <w:sz w:val="20"/>
                <w:szCs w:val="20"/>
              </w:rPr>
              <w:t>1.287.172.802 kn</w:t>
            </w:r>
          </w:p>
        </w:tc>
        <w:tc>
          <w:tcPr>
            <w:tcW w:w="816" w:type="dxa"/>
            <w:hideMark/>
          </w:tcPr>
          <w:p w14:paraId="39136916" w14:textId="77777777" w:rsidR="007D4156" w:rsidRPr="007D4156" w:rsidRDefault="007D4156" w:rsidP="007D4156">
            <w:pPr>
              <w:ind w:firstLine="708"/>
              <w:rPr>
                <w:rFonts w:ascii="Times New Roman" w:hAnsi="Times New Roman" w:cs="Times New Roman"/>
                <w:b/>
                <w:bCs/>
                <w:sz w:val="20"/>
                <w:szCs w:val="20"/>
              </w:rPr>
            </w:pPr>
            <w:r w:rsidRPr="007D4156">
              <w:rPr>
                <w:rFonts w:ascii="Times New Roman" w:hAnsi="Times New Roman" w:cs="Times New Roman"/>
                <w:b/>
                <w:bCs/>
                <w:sz w:val="20"/>
                <w:szCs w:val="20"/>
              </w:rPr>
              <w:t> </w:t>
            </w:r>
          </w:p>
        </w:tc>
      </w:tr>
    </w:tbl>
    <w:p w14:paraId="5EC8D655" w14:textId="41A27F68" w:rsidR="00C92457" w:rsidRDefault="00C92457" w:rsidP="007D4156">
      <w:pPr>
        <w:ind w:firstLine="708"/>
        <w:rPr>
          <w:rFonts w:ascii="Times New Roman" w:hAnsi="Times New Roman" w:cs="Times New Roman"/>
          <w:sz w:val="20"/>
          <w:szCs w:val="20"/>
        </w:rPr>
      </w:pPr>
    </w:p>
    <w:p w14:paraId="11FE9552" w14:textId="77777777" w:rsidR="00C92457" w:rsidRDefault="00C92457">
      <w:pPr>
        <w:rPr>
          <w:rFonts w:ascii="Times New Roman" w:hAnsi="Times New Roman" w:cs="Times New Roman"/>
          <w:sz w:val="20"/>
          <w:szCs w:val="20"/>
        </w:rPr>
      </w:pPr>
      <w:r>
        <w:rPr>
          <w:rFonts w:ascii="Times New Roman" w:hAnsi="Times New Roman" w:cs="Times New Roman"/>
          <w:sz w:val="20"/>
          <w:szCs w:val="20"/>
        </w:rPr>
        <w:br w:type="page"/>
      </w:r>
    </w:p>
    <w:tbl>
      <w:tblPr>
        <w:tblStyle w:val="Reetkatablice"/>
        <w:tblW w:w="0" w:type="auto"/>
        <w:tblLook w:val="04A0" w:firstRow="1" w:lastRow="0" w:firstColumn="1" w:lastColumn="0" w:noHBand="0" w:noVBand="1"/>
      </w:tblPr>
      <w:tblGrid>
        <w:gridCol w:w="1956"/>
        <w:gridCol w:w="2276"/>
        <w:gridCol w:w="958"/>
        <w:gridCol w:w="1566"/>
        <w:gridCol w:w="1246"/>
        <w:gridCol w:w="1185"/>
        <w:gridCol w:w="1185"/>
        <w:gridCol w:w="1185"/>
        <w:gridCol w:w="1143"/>
        <w:gridCol w:w="1205"/>
        <w:gridCol w:w="1483"/>
      </w:tblGrid>
      <w:tr w:rsidR="00793828" w:rsidRPr="00793828" w14:paraId="1872AD96" w14:textId="77777777" w:rsidTr="00793828">
        <w:trPr>
          <w:trHeight w:val="540"/>
        </w:trPr>
        <w:tc>
          <w:tcPr>
            <w:tcW w:w="9396" w:type="dxa"/>
            <w:gridSpan w:val="11"/>
            <w:shd w:val="clear" w:color="auto" w:fill="FFF2CC" w:themeFill="accent4" w:themeFillTint="33"/>
            <w:hideMark/>
          </w:tcPr>
          <w:p w14:paraId="064822FB" w14:textId="2C2537CE" w:rsidR="00793828" w:rsidRPr="00793828" w:rsidRDefault="00793828" w:rsidP="00793828">
            <w:pPr>
              <w:ind w:firstLine="708"/>
              <w:jc w:val="center"/>
              <w:rPr>
                <w:rFonts w:ascii="Times New Roman" w:hAnsi="Times New Roman" w:cs="Times New Roman"/>
                <w:b/>
                <w:bCs/>
                <w:sz w:val="24"/>
                <w:szCs w:val="24"/>
              </w:rPr>
            </w:pPr>
            <w:r w:rsidRPr="00793828">
              <w:rPr>
                <w:rFonts w:ascii="Times New Roman" w:hAnsi="Times New Roman" w:cs="Times New Roman"/>
                <w:b/>
                <w:bCs/>
                <w:sz w:val="24"/>
                <w:szCs w:val="24"/>
              </w:rPr>
              <w:lastRenderedPageBreak/>
              <w:t>Popis mjera za provedbu posebnog cilja 3</w:t>
            </w:r>
          </w:p>
        </w:tc>
      </w:tr>
      <w:tr w:rsidR="00793828" w:rsidRPr="00CF387A" w14:paraId="0998E743" w14:textId="77777777" w:rsidTr="00793828">
        <w:trPr>
          <w:trHeight w:val="1999"/>
        </w:trPr>
        <w:tc>
          <w:tcPr>
            <w:tcW w:w="1172" w:type="dxa"/>
            <w:hideMark/>
          </w:tcPr>
          <w:p w14:paraId="027A0207"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Naziv mjere</w:t>
            </w:r>
          </w:p>
        </w:tc>
        <w:tc>
          <w:tcPr>
            <w:tcW w:w="1382" w:type="dxa"/>
            <w:hideMark/>
          </w:tcPr>
          <w:p w14:paraId="1DAC724E"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Svrha provedbe mjere</w:t>
            </w:r>
          </w:p>
        </w:tc>
        <w:tc>
          <w:tcPr>
            <w:tcW w:w="517" w:type="dxa"/>
            <w:hideMark/>
          </w:tcPr>
          <w:p w14:paraId="7BA9D0CF"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 xml:space="preserve">Rok provedbe  mjere </w:t>
            </w:r>
            <w:r w:rsidRPr="00793828">
              <w:rPr>
                <w:rFonts w:ascii="Times New Roman" w:hAnsi="Times New Roman" w:cs="Times New Roman"/>
                <w:b/>
                <w:bCs/>
                <w:sz w:val="20"/>
                <w:szCs w:val="20"/>
              </w:rPr>
              <w:br/>
              <w:t>(kvartal, godina)</w:t>
            </w:r>
          </w:p>
        </w:tc>
        <w:tc>
          <w:tcPr>
            <w:tcW w:w="916" w:type="dxa"/>
            <w:hideMark/>
          </w:tcPr>
          <w:p w14:paraId="3CBC8811"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Pokazatelj rezultata mjere</w:t>
            </w:r>
          </w:p>
        </w:tc>
        <w:tc>
          <w:tcPr>
            <w:tcW w:w="707" w:type="dxa"/>
            <w:hideMark/>
          </w:tcPr>
          <w:p w14:paraId="27BCB930"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 xml:space="preserve">Nadležnost za provedbu </w:t>
            </w:r>
          </w:p>
        </w:tc>
        <w:tc>
          <w:tcPr>
            <w:tcW w:w="744" w:type="dxa"/>
            <w:hideMark/>
          </w:tcPr>
          <w:p w14:paraId="0E192515"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Procijenjeni trošak</w:t>
            </w:r>
            <w:r w:rsidRPr="00793828">
              <w:rPr>
                <w:rFonts w:ascii="Times New Roman" w:hAnsi="Times New Roman" w:cs="Times New Roman"/>
                <w:b/>
                <w:bCs/>
                <w:sz w:val="20"/>
                <w:szCs w:val="20"/>
              </w:rPr>
              <w:br/>
              <w:t>provedbe mjere u 2022. godini</w:t>
            </w:r>
          </w:p>
        </w:tc>
        <w:tc>
          <w:tcPr>
            <w:tcW w:w="744" w:type="dxa"/>
            <w:hideMark/>
          </w:tcPr>
          <w:p w14:paraId="75B04468"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Procijenjeni trošak</w:t>
            </w:r>
            <w:r w:rsidRPr="00793828">
              <w:rPr>
                <w:rFonts w:ascii="Times New Roman" w:hAnsi="Times New Roman" w:cs="Times New Roman"/>
                <w:b/>
                <w:bCs/>
                <w:sz w:val="20"/>
                <w:szCs w:val="20"/>
              </w:rPr>
              <w:br/>
              <w:t>provedbe mjere  u 2023. godini</w:t>
            </w:r>
          </w:p>
        </w:tc>
        <w:tc>
          <w:tcPr>
            <w:tcW w:w="744" w:type="dxa"/>
            <w:hideMark/>
          </w:tcPr>
          <w:p w14:paraId="063D4950"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Procijenjeni trošak</w:t>
            </w:r>
            <w:r w:rsidRPr="00793828">
              <w:rPr>
                <w:rFonts w:ascii="Times New Roman" w:hAnsi="Times New Roman" w:cs="Times New Roman"/>
                <w:b/>
                <w:bCs/>
                <w:sz w:val="20"/>
                <w:szCs w:val="20"/>
              </w:rPr>
              <w:br/>
              <w:t>provedbe mjere  u 2024. godine</w:t>
            </w:r>
          </w:p>
        </w:tc>
        <w:tc>
          <w:tcPr>
            <w:tcW w:w="804" w:type="dxa"/>
            <w:hideMark/>
          </w:tcPr>
          <w:p w14:paraId="78323B88" w14:textId="77777777" w:rsidR="00793828" w:rsidRPr="00CF387A" w:rsidRDefault="00793828" w:rsidP="00CF387A">
            <w:pPr>
              <w:rPr>
                <w:rFonts w:ascii="Times New Roman" w:hAnsi="Times New Roman" w:cs="Times New Roman"/>
                <w:b/>
                <w:bCs/>
                <w:sz w:val="20"/>
                <w:szCs w:val="20"/>
              </w:rPr>
            </w:pPr>
            <w:r w:rsidRPr="00CF387A">
              <w:rPr>
                <w:rFonts w:ascii="Times New Roman" w:hAnsi="Times New Roman" w:cs="Times New Roman"/>
                <w:b/>
                <w:bCs/>
                <w:sz w:val="20"/>
                <w:szCs w:val="20"/>
              </w:rPr>
              <w:t xml:space="preserve">UKUPNO </w:t>
            </w:r>
            <w:r w:rsidRPr="00CF387A">
              <w:rPr>
                <w:rFonts w:ascii="Times New Roman" w:hAnsi="Times New Roman" w:cs="Times New Roman"/>
                <w:b/>
                <w:bCs/>
                <w:sz w:val="20"/>
                <w:szCs w:val="20"/>
              </w:rPr>
              <w:br/>
              <w:t>trošak provedbe u razdoblju provedbe Akcijskog plana 2022.-2024. godine</w:t>
            </w:r>
          </w:p>
        </w:tc>
        <w:tc>
          <w:tcPr>
            <w:tcW w:w="804" w:type="dxa"/>
            <w:hideMark/>
          </w:tcPr>
          <w:p w14:paraId="3A22B676"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Ukupan procijenjeni trošak</w:t>
            </w:r>
            <w:r w:rsidRPr="00793828">
              <w:rPr>
                <w:rFonts w:ascii="Times New Roman" w:hAnsi="Times New Roman" w:cs="Times New Roman"/>
                <w:b/>
                <w:bCs/>
                <w:sz w:val="20"/>
                <w:szCs w:val="20"/>
              </w:rPr>
              <w:br/>
              <w:t>provedbe mjere u razdoblju trajanja Nacionalnog plana (2022.- 2027. godine)</w:t>
            </w:r>
          </w:p>
        </w:tc>
        <w:tc>
          <w:tcPr>
            <w:tcW w:w="862" w:type="dxa"/>
            <w:hideMark/>
          </w:tcPr>
          <w:p w14:paraId="60BE8FA0" w14:textId="77777777" w:rsidR="00793828" w:rsidRPr="00793828" w:rsidRDefault="00793828" w:rsidP="00CF387A">
            <w:pPr>
              <w:rPr>
                <w:rFonts w:ascii="Times New Roman" w:hAnsi="Times New Roman" w:cs="Times New Roman"/>
                <w:b/>
                <w:bCs/>
                <w:sz w:val="20"/>
                <w:szCs w:val="20"/>
              </w:rPr>
            </w:pPr>
            <w:r w:rsidRPr="00793828">
              <w:rPr>
                <w:rFonts w:ascii="Times New Roman" w:hAnsi="Times New Roman" w:cs="Times New Roman"/>
                <w:b/>
                <w:bCs/>
                <w:sz w:val="20"/>
                <w:szCs w:val="20"/>
              </w:rPr>
              <w:t>Planirani izvor financiranja  u Državnom proračunu (proračunska aktivnost je navedena ukoliko je izvor financiranja DPRH)</w:t>
            </w:r>
          </w:p>
        </w:tc>
      </w:tr>
      <w:tr w:rsidR="00793828" w:rsidRPr="00B3735C" w14:paraId="0D9D54E0" w14:textId="77777777" w:rsidTr="006C449F">
        <w:trPr>
          <w:trHeight w:val="2265"/>
        </w:trPr>
        <w:tc>
          <w:tcPr>
            <w:tcW w:w="1172" w:type="dxa"/>
            <w:hideMark/>
          </w:tcPr>
          <w:p w14:paraId="49ECABAA"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 xml:space="preserve">Razvoj kompetencijskog okvira za zaposlene u javnoj upravi </w:t>
            </w:r>
          </w:p>
        </w:tc>
        <w:tc>
          <w:tcPr>
            <w:tcW w:w="1382" w:type="dxa"/>
            <w:hideMark/>
          </w:tcPr>
          <w:p w14:paraId="178266B0" w14:textId="3BE4C15B"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Unapređenje sustava razvoja i upravljanja ljudskim potencijalima radi stvaranja odgovarajuće strukture zaposlenih na kojoj će počivati modernizacija javne uprave kao i unapređenje stručnog, učinkovitog i profesionalnog pružanja usluga korisnicima. Razvoj kompetencijskog okvira za efikasnije upravljanje ljudskim potencijalima u javnoj upravi za sva tri dijela javne uprave u Republici Hrvatskoj: državna tijela, pravne osobe s javnim ovlastima te upravna tijela jedinica lokalne i područne (regionalne) samouprave. Uvođenje kompetencijskog okvira u javnu upravu ujedno predstavlja i preduvjet za uspostavu programa </w:t>
            </w:r>
            <w:r w:rsidRPr="00B3735C">
              <w:rPr>
                <w:rFonts w:ascii="Times New Roman" w:hAnsi="Times New Roman" w:cs="Times New Roman"/>
                <w:bCs/>
                <w:sz w:val="20"/>
                <w:szCs w:val="20"/>
              </w:rPr>
              <w:lastRenderedPageBreak/>
              <w:t>osposobljavanja i usavršavanja za rad u javnoj upravi usklađenih s potrebama službe i strateškim ciljevima, mjerama i politikama čija će provedba od zaposlenika zahtijevati nova znanja i vještine.</w:t>
            </w:r>
          </w:p>
        </w:tc>
        <w:tc>
          <w:tcPr>
            <w:tcW w:w="517" w:type="dxa"/>
            <w:noWrap/>
            <w:hideMark/>
          </w:tcPr>
          <w:p w14:paraId="00AA1DD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3Q/2022.</w:t>
            </w:r>
          </w:p>
        </w:tc>
        <w:tc>
          <w:tcPr>
            <w:tcW w:w="916" w:type="dxa"/>
            <w:hideMark/>
          </w:tcPr>
          <w:p w14:paraId="1946B764"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U sklopu ovoga Projekta izradit će se kompetencijski okvir za javnu upravu koji će biti implementiran u 9 pilot-tijela, sastavit će se priručnik za primjenu kompetencijskog okvira u tijelima javne uprave, kao i operativni plan za implementaciju kompetencijskog okvira u javnoj upravi te smjernice za izmjenu propisa s ciljem implementacije kompetencijskog okvira u </w:t>
            </w:r>
            <w:r w:rsidRPr="00B3735C">
              <w:rPr>
                <w:rFonts w:ascii="Times New Roman" w:hAnsi="Times New Roman" w:cs="Times New Roman"/>
                <w:bCs/>
                <w:sz w:val="20"/>
                <w:szCs w:val="20"/>
              </w:rPr>
              <w:lastRenderedPageBreak/>
              <w:t>cjelokupnoj javnoj upravi</w:t>
            </w:r>
          </w:p>
        </w:tc>
        <w:tc>
          <w:tcPr>
            <w:tcW w:w="707" w:type="dxa"/>
            <w:hideMark/>
          </w:tcPr>
          <w:p w14:paraId="48F63059"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MPU, u suradnji sa TDU</w:t>
            </w:r>
          </w:p>
        </w:tc>
        <w:tc>
          <w:tcPr>
            <w:tcW w:w="744" w:type="dxa"/>
            <w:hideMark/>
          </w:tcPr>
          <w:p w14:paraId="27A9B471"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3.110.500 kn</w:t>
            </w:r>
          </w:p>
        </w:tc>
        <w:tc>
          <w:tcPr>
            <w:tcW w:w="744" w:type="dxa"/>
            <w:hideMark/>
          </w:tcPr>
          <w:p w14:paraId="347C16A3"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234.000 kn</w:t>
            </w:r>
          </w:p>
        </w:tc>
        <w:tc>
          <w:tcPr>
            <w:tcW w:w="744" w:type="dxa"/>
            <w:hideMark/>
          </w:tcPr>
          <w:p w14:paraId="177D3EEA"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04" w:type="dxa"/>
            <w:hideMark/>
          </w:tcPr>
          <w:p w14:paraId="3AE3465D"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3.344.500 kn</w:t>
            </w:r>
          </w:p>
        </w:tc>
        <w:tc>
          <w:tcPr>
            <w:tcW w:w="804" w:type="dxa"/>
            <w:hideMark/>
          </w:tcPr>
          <w:p w14:paraId="3C0F2FD5"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3.344.500 kn</w:t>
            </w:r>
          </w:p>
        </w:tc>
        <w:tc>
          <w:tcPr>
            <w:tcW w:w="862" w:type="dxa"/>
            <w:hideMark/>
          </w:tcPr>
          <w:p w14:paraId="2DAAD44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 K544087.007 Razvoj kompetencijskog okvira za zaposlene u javnoj upravi -  561 Europski socijalni fond (ESF) 85% i 12 Sredstva učešća za pomoći 15%</w:t>
            </w:r>
          </w:p>
        </w:tc>
      </w:tr>
      <w:tr w:rsidR="00793828" w:rsidRPr="00B3735C" w14:paraId="02C36ED1" w14:textId="77777777" w:rsidTr="00793828">
        <w:trPr>
          <w:trHeight w:val="4519"/>
        </w:trPr>
        <w:tc>
          <w:tcPr>
            <w:tcW w:w="1172" w:type="dxa"/>
            <w:hideMark/>
          </w:tcPr>
          <w:p w14:paraId="67CDBCA3"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Centralizirani sustav selekcije -  C2.2. R1-I1</w:t>
            </w:r>
          </w:p>
        </w:tc>
        <w:tc>
          <w:tcPr>
            <w:tcW w:w="1382" w:type="dxa"/>
            <w:hideMark/>
          </w:tcPr>
          <w:p w14:paraId="5ACA99F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Uspostava objektivnijeg i transparentnijeg zapošljavanja temeljenog na stvarnim potrebama i osiguranim financijskim sredstvima koje će osigurati zapošljavanje najboljih/najkompetentnijih kandidata te time doprinijeti unaprjeđenju učinkovitosti javne uprave i povećanju efikasnosti, učinkovitosti i usmjerenosti javne uprave potrebama korisnika. </w:t>
            </w:r>
          </w:p>
        </w:tc>
        <w:tc>
          <w:tcPr>
            <w:tcW w:w="517" w:type="dxa"/>
            <w:noWrap/>
            <w:hideMark/>
          </w:tcPr>
          <w:p w14:paraId="2980C5DD"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4Q/2024.</w:t>
            </w:r>
          </w:p>
        </w:tc>
        <w:tc>
          <w:tcPr>
            <w:tcW w:w="916" w:type="dxa"/>
            <w:hideMark/>
          </w:tcPr>
          <w:p w14:paraId="4C3366CE" w14:textId="6BEA24C2"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Izmijenjen zakonodavni okvir za centralizirani sustav selekcije u državnoj upravi kojim se utvrđuju potrebne kvalifikacije državnih službenika i uspostavlja moderni sustav zapošljavanja.  Stupanje na snagu izm</w:t>
            </w:r>
            <w:r w:rsidR="006C449F">
              <w:rPr>
                <w:rFonts w:ascii="Times New Roman" w:hAnsi="Times New Roman" w:cs="Times New Roman"/>
                <w:bCs/>
                <w:sz w:val="20"/>
                <w:szCs w:val="20"/>
              </w:rPr>
              <w:t>i</w:t>
            </w:r>
            <w:r w:rsidRPr="00B3735C">
              <w:rPr>
                <w:rFonts w:ascii="Times New Roman" w:hAnsi="Times New Roman" w:cs="Times New Roman"/>
                <w:bCs/>
                <w:sz w:val="20"/>
                <w:szCs w:val="20"/>
              </w:rPr>
              <w:t xml:space="preserve">jenjenog zakonodavnog okvira za centralizirani sustav odabira državnih službenika kojim će se utvrditi potrebne kvalifikacije državnih službenika i omogućiti postupak odabira na temelju </w:t>
            </w:r>
            <w:r w:rsidRPr="00B3735C">
              <w:rPr>
                <w:rFonts w:ascii="Times New Roman" w:hAnsi="Times New Roman" w:cs="Times New Roman"/>
                <w:bCs/>
                <w:sz w:val="20"/>
                <w:szCs w:val="20"/>
              </w:rPr>
              <w:lastRenderedPageBreak/>
              <w:t>kompetencija, postavljanjem uvjeta potrebnih za zapošljavanje najkompetentnijih kandidata, uzimajući u obzir rezultate pregleda radnih mjesta u cijeloj upravi na temelju kompetencijskog okvira.</w:t>
            </w:r>
            <w:r w:rsidRPr="00B3735C">
              <w:rPr>
                <w:rFonts w:ascii="Times New Roman" w:hAnsi="Times New Roman" w:cs="Times New Roman"/>
                <w:bCs/>
                <w:sz w:val="20"/>
                <w:szCs w:val="20"/>
              </w:rPr>
              <w:br/>
              <w:t>100% novih, stalno zaposlenih državnih službenika u državnim tijelima zapošljava se isključivo kroz novi, centralizirani, digitalizirani i standardizirani sustav odabira i zapošljavanja, dostupan putem novo</w:t>
            </w:r>
            <w:r w:rsidR="006C449F">
              <w:rPr>
                <w:rFonts w:ascii="Times New Roman" w:hAnsi="Times New Roman" w:cs="Times New Roman"/>
                <w:bCs/>
                <w:sz w:val="20"/>
                <w:szCs w:val="20"/>
              </w:rPr>
              <w:t xml:space="preserve"> </w:t>
            </w:r>
            <w:r w:rsidRPr="00B3735C">
              <w:rPr>
                <w:rFonts w:ascii="Times New Roman" w:hAnsi="Times New Roman" w:cs="Times New Roman"/>
                <w:bCs/>
                <w:sz w:val="20"/>
                <w:szCs w:val="20"/>
              </w:rPr>
              <w:t>razvijene IT platforme</w:t>
            </w:r>
          </w:p>
        </w:tc>
        <w:tc>
          <w:tcPr>
            <w:tcW w:w="707" w:type="dxa"/>
            <w:noWrap/>
            <w:hideMark/>
          </w:tcPr>
          <w:p w14:paraId="6AFBDD87"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MPU</w:t>
            </w:r>
          </w:p>
        </w:tc>
        <w:tc>
          <w:tcPr>
            <w:tcW w:w="744" w:type="dxa"/>
            <w:noWrap/>
            <w:hideMark/>
          </w:tcPr>
          <w:p w14:paraId="5B6E6513"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2.364.627 kn</w:t>
            </w:r>
          </w:p>
        </w:tc>
        <w:tc>
          <w:tcPr>
            <w:tcW w:w="744" w:type="dxa"/>
            <w:noWrap/>
            <w:hideMark/>
          </w:tcPr>
          <w:p w14:paraId="35286C6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3.114.765 kn</w:t>
            </w:r>
          </w:p>
        </w:tc>
        <w:tc>
          <w:tcPr>
            <w:tcW w:w="744" w:type="dxa"/>
            <w:noWrap/>
            <w:hideMark/>
          </w:tcPr>
          <w:p w14:paraId="6AD4B2B1"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6.685.002 kn</w:t>
            </w:r>
          </w:p>
        </w:tc>
        <w:tc>
          <w:tcPr>
            <w:tcW w:w="804" w:type="dxa"/>
            <w:hideMark/>
          </w:tcPr>
          <w:p w14:paraId="7CD81E5E"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12.164.394 kn</w:t>
            </w:r>
          </w:p>
        </w:tc>
        <w:tc>
          <w:tcPr>
            <w:tcW w:w="804" w:type="dxa"/>
            <w:noWrap/>
            <w:hideMark/>
          </w:tcPr>
          <w:p w14:paraId="0A11F5E9"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14.513.856 kn</w:t>
            </w:r>
          </w:p>
        </w:tc>
        <w:tc>
          <w:tcPr>
            <w:tcW w:w="862" w:type="dxa"/>
            <w:hideMark/>
          </w:tcPr>
          <w:p w14:paraId="6E13A59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T830027.007 581 Mehanizam za oporavak i otpornost</w:t>
            </w:r>
          </w:p>
        </w:tc>
      </w:tr>
      <w:tr w:rsidR="00793828" w:rsidRPr="00B3735C" w14:paraId="19429881" w14:textId="77777777" w:rsidTr="00793828">
        <w:trPr>
          <w:trHeight w:val="1902"/>
        </w:trPr>
        <w:tc>
          <w:tcPr>
            <w:tcW w:w="1172" w:type="dxa"/>
            <w:hideMark/>
          </w:tcPr>
          <w:p w14:paraId="1E7EF1D0"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E-Državni ispit - C2.2. R1-I2</w:t>
            </w:r>
          </w:p>
        </w:tc>
        <w:tc>
          <w:tcPr>
            <w:tcW w:w="1382" w:type="dxa"/>
            <w:hideMark/>
          </w:tcPr>
          <w:p w14:paraId="070F80A6"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Unaprijediti postupak provedbe državnog ispita kako bi se osiguralo kompetentne službenike te povećalo povjerenje građana u javnu upravu. </w:t>
            </w:r>
          </w:p>
        </w:tc>
        <w:tc>
          <w:tcPr>
            <w:tcW w:w="517" w:type="dxa"/>
            <w:noWrap/>
            <w:hideMark/>
          </w:tcPr>
          <w:p w14:paraId="78C720BD"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2Q/2023.</w:t>
            </w:r>
          </w:p>
        </w:tc>
        <w:tc>
          <w:tcPr>
            <w:tcW w:w="916" w:type="dxa"/>
            <w:hideMark/>
          </w:tcPr>
          <w:p w14:paraId="0A3FFAF5"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100%  službenika svih javnih institucija koji imaju obvezu polaganja državnog ispita digitalno polažu državni ispit, na temelju novog modela ispita.  </w:t>
            </w:r>
          </w:p>
        </w:tc>
        <w:tc>
          <w:tcPr>
            <w:tcW w:w="707" w:type="dxa"/>
            <w:noWrap/>
            <w:hideMark/>
          </w:tcPr>
          <w:p w14:paraId="538B4C1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MPU</w:t>
            </w:r>
          </w:p>
        </w:tc>
        <w:tc>
          <w:tcPr>
            <w:tcW w:w="744" w:type="dxa"/>
            <w:noWrap/>
            <w:hideMark/>
          </w:tcPr>
          <w:p w14:paraId="21F1F175"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2.243.343 kn</w:t>
            </w:r>
          </w:p>
        </w:tc>
        <w:tc>
          <w:tcPr>
            <w:tcW w:w="744" w:type="dxa"/>
            <w:noWrap/>
            <w:hideMark/>
          </w:tcPr>
          <w:p w14:paraId="59C8E1B4"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744" w:type="dxa"/>
            <w:noWrap/>
            <w:hideMark/>
          </w:tcPr>
          <w:p w14:paraId="0A87AC2E"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04" w:type="dxa"/>
            <w:hideMark/>
          </w:tcPr>
          <w:p w14:paraId="11E528D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2.243.343 kn</w:t>
            </w:r>
          </w:p>
        </w:tc>
        <w:tc>
          <w:tcPr>
            <w:tcW w:w="804" w:type="dxa"/>
            <w:noWrap/>
            <w:hideMark/>
          </w:tcPr>
          <w:p w14:paraId="1F5DA36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5.524.012 kn</w:t>
            </w:r>
          </w:p>
        </w:tc>
        <w:tc>
          <w:tcPr>
            <w:tcW w:w="862" w:type="dxa"/>
            <w:hideMark/>
          </w:tcPr>
          <w:p w14:paraId="6653006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T830027.008 581 Mehanizam za oporavak i otpornost</w:t>
            </w:r>
          </w:p>
        </w:tc>
      </w:tr>
      <w:tr w:rsidR="00793828" w:rsidRPr="00B3735C" w14:paraId="5FD66D26" w14:textId="77777777" w:rsidTr="00793828">
        <w:trPr>
          <w:trHeight w:val="4399"/>
        </w:trPr>
        <w:tc>
          <w:tcPr>
            <w:tcW w:w="1172" w:type="dxa"/>
            <w:hideMark/>
          </w:tcPr>
          <w:p w14:paraId="2AE14BBB"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lastRenderedPageBreak/>
              <w:t>Unaprjeđenje sustava plaća u državnoj upravi i javnim službama, sustava HRM-a i COP-a - C2.2. R2-I1</w:t>
            </w:r>
          </w:p>
        </w:tc>
        <w:tc>
          <w:tcPr>
            <w:tcW w:w="1382" w:type="dxa"/>
            <w:hideMark/>
          </w:tcPr>
          <w:p w14:paraId="2023079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Pravedan, transparentan, dosljedan, motivirajući i financijski održiv sustav plaća u državnoj upravi i javnim službama te standardiziran, digitaliziran te korisnički usmjeren HRM sustav. </w:t>
            </w:r>
          </w:p>
        </w:tc>
        <w:tc>
          <w:tcPr>
            <w:tcW w:w="517" w:type="dxa"/>
            <w:noWrap/>
            <w:hideMark/>
          </w:tcPr>
          <w:p w14:paraId="7AE82B8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4Q/2024.</w:t>
            </w:r>
          </w:p>
        </w:tc>
        <w:tc>
          <w:tcPr>
            <w:tcW w:w="916" w:type="dxa"/>
            <w:hideMark/>
          </w:tcPr>
          <w:p w14:paraId="37DC141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Stupanje na snagu Zakona o plaćama u državnoj upravi i javnim službama te propisa za vertikalnu i horizontalnu mobilnost službenika u javnoj upravi. Uspostavljeno 9 novih  funkcionalnosti (e-aplikacija) u okviru HRM sustava / RegZap - Cop digitalizacijom svih povezanih procesa, s ciljem pojednostavljenja i ubrzavanje procesa</w:t>
            </w:r>
          </w:p>
        </w:tc>
        <w:tc>
          <w:tcPr>
            <w:tcW w:w="707" w:type="dxa"/>
            <w:hideMark/>
          </w:tcPr>
          <w:p w14:paraId="10FCB6D1"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MPU, u suradnji s FINA-om (vezano za COP u dijelu koji se odnosi na državne službenike i namještenike, COP i HRM)</w:t>
            </w:r>
            <w:r w:rsidRPr="00B3735C">
              <w:rPr>
                <w:rFonts w:ascii="Times New Roman" w:hAnsi="Times New Roman" w:cs="Times New Roman"/>
                <w:bCs/>
                <w:sz w:val="20"/>
                <w:szCs w:val="20"/>
              </w:rPr>
              <w:br/>
              <w:t>MROSP, u suradnji s MIZ, MZO i MUP (u dijelu koji se odnosi na službenike i namještenike u javnim službama)</w:t>
            </w:r>
          </w:p>
        </w:tc>
        <w:tc>
          <w:tcPr>
            <w:tcW w:w="744" w:type="dxa"/>
            <w:hideMark/>
          </w:tcPr>
          <w:p w14:paraId="49FE2354"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12.182.039 kn</w:t>
            </w:r>
          </w:p>
        </w:tc>
        <w:tc>
          <w:tcPr>
            <w:tcW w:w="744" w:type="dxa"/>
            <w:hideMark/>
          </w:tcPr>
          <w:p w14:paraId="359E1838"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20.184.809 kn</w:t>
            </w:r>
          </w:p>
        </w:tc>
        <w:tc>
          <w:tcPr>
            <w:tcW w:w="744" w:type="dxa"/>
            <w:hideMark/>
          </w:tcPr>
          <w:p w14:paraId="0D13F9DC"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11.486.249 kn</w:t>
            </w:r>
          </w:p>
        </w:tc>
        <w:tc>
          <w:tcPr>
            <w:tcW w:w="804" w:type="dxa"/>
            <w:hideMark/>
          </w:tcPr>
          <w:p w14:paraId="52651469"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43.853.097 kn</w:t>
            </w:r>
          </w:p>
        </w:tc>
        <w:tc>
          <w:tcPr>
            <w:tcW w:w="804" w:type="dxa"/>
            <w:noWrap/>
            <w:hideMark/>
          </w:tcPr>
          <w:p w14:paraId="0ACCCF6C"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51.170.492 kn</w:t>
            </w:r>
          </w:p>
        </w:tc>
        <w:tc>
          <w:tcPr>
            <w:tcW w:w="862" w:type="dxa"/>
            <w:hideMark/>
          </w:tcPr>
          <w:p w14:paraId="6E3E1C73"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T830027.009 581 Mehanizam za oporavak i otpornost</w:t>
            </w:r>
          </w:p>
        </w:tc>
      </w:tr>
      <w:tr w:rsidR="00793828" w:rsidRPr="00B3735C" w14:paraId="383300A9" w14:textId="77777777" w:rsidTr="006C449F">
        <w:trPr>
          <w:trHeight w:val="2266"/>
        </w:trPr>
        <w:tc>
          <w:tcPr>
            <w:tcW w:w="1172" w:type="dxa"/>
            <w:hideMark/>
          </w:tcPr>
          <w:p w14:paraId="402630EF"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Uvođenje modela za hibridni pristup radnom mjestu – smartworking - C2.2. R2-I2</w:t>
            </w:r>
          </w:p>
        </w:tc>
        <w:tc>
          <w:tcPr>
            <w:tcW w:w="1382" w:type="dxa"/>
            <w:hideMark/>
          </w:tcPr>
          <w:p w14:paraId="14300A68"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Uvođenje modela koji će omogućiti rad državnih službenika na daljinu s ciljem pružanja kontinuirane i kvalitetne javne usluge dostupne svima i veće motivacije službenika.</w:t>
            </w:r>
          </w:p>
        </w:tc>
        <w:tc>
          <w:tcPr>
            <w:tcW w:w="517" w:type="dxa"/>
            <w:noWrap/>
            <w:hideMark/>
          </w:tcPr>
          <w:p w14:paraId="120BF97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3Q/2023.</w:t>
            </w:r>
          </w:p>
        </w:tc>
        <w:tc>
          <w:tcPr>
            <w:tcW w:w="916" w:type="dxa"/>
            <w:hideMark/>
          </w:tcPr>
          <w:p w14:paraId="706F3C13"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20% državnih službenika radi u smartworking modelu </w:t>
            </w:r>
            <w:r w:rsidRPr="00B3735C">
              <w:rPr>
                <w:rFonts w:ascii="Times New Roman" w:hAnsi="Times New Roman" w:cs="Times New Roman"/>
                <w:bCs/>
                <w:sz w:val="20"/>
                <w:szCs w:val="20"/>
              </w:rPr>
              <w:br/>
              <w:t>60% službenika educiranih za rad u smartworking modelu</w:t>
            </w:r>
          </w:p>
        </w:tc>
        <w:tc>
          <w:tcPr>
            <w:tcW w:w="707" w:type="dxa"/>
            <w:hideMark/>
          </w:tcPr>
          <w:p w14:paraId="766094E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MPU, u suradnji s SDURDD i MROSP</w:t>
            </w:r>
          </w:p>
        </w:tc>
        <w:tc>
          <w:tcPr>
            <w:tcW w:w="744" w:type="dxa"/>
            <w:noWrap/>
            <w:hideMark/>
          </w:tcPr>
          <w:p w14:paraId="723DEA7D"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4.590.324 kn</w:t>
            </w:r>
          </w:p>
        </w:tc>
        <w:tc>
          <w:tcPr>
            <w:tcW w:w="744" w:type="dxa"/>
            <w:noWrap/>
            <w:hideMark/>
          </w:tcPr>
          <w:p w14:paraId="4C59A5A3"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67.994.127 kn</w:t>
            </w:r>
          </w:p>
        </w:tc>
        <w:tc>
          <w:tcPr>
            <w:tcW w:w="744" w:type="dxa"/>
            <w:noWrap/>
            <w:hideMark/>
          </w:tcPr>
          <w:p w14:paraId="26342B2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04" w:type="dxa"/>
            <w:hideMark/>
          </w:tcPr>
          <w:p w14:paraId="3A68D901"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72.584.451 kn</w:t>
            </w:r>
          </w:p>
        </w:tc>
        <w:tc>
          <w:tcPr>
            <w:tcW w:w="804" w:type="dxa"/>
            <w:noWrap/>
            <w:hideMark/>
          </w:tcPr>
          <w:p w14:paraId="6359C0AC"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74.713.361 kn</w:t>
            </w:r>
          </w:p>
        </w:tc>
        <w:tc>
          <w:tcPr>
            <w:tcW w:w="862" w:type="dxa"/>
            <w:hideMark/>
          </w:tcPr>
          <w:p w14:paraId="0541610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T830027.011 581 Mehanizam za oporavak i otpornost</w:t>
            </w:r>
          </w:p>
        </w:tc>
      </w:tr>
      <w:tr w:rsidR="00793828" w:rsidRPr="00B3735C" w14:paraId="175707F1" w14:textId="77777777" w:rsidTr="006C449F">
        <w:trPr>
          <w:trHeight w:val="1975"/>
        </w:trPr>
        <w:tc>
          <w:tcPr>
            <w:tcW w:w="1172" w:type="dxa"/>
            <w:hideMark/>
          </w:tcPr>
          <w:p w14:paraId="17AD2E10"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lastRenderedPageBreak/>
              <w:t xml:space="preserve">Jačanje suradnje tijela državne uprave, JLP(R)S, TJV i obrazovnih institucija </w:t>
            </w:r>
          </w:p>
        </w:tc>
        <w:tc>
          <w:tcPr>
            <w:tcW w:w="1382" w:type="dxa"/>
            <w:hideMark/>
          </w:tcPr>
          <w:p w14:paraId="69CCC70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Jačanje suradnje svih relevantnih dionika nužno je za identificiranje potrebnih intervencija i jačanje specifičnih kompetencija u javnoj upravi razvojem i provedbom programa stručnog usavršavanja prilagođenih potrebama njihovih radnih mjesta  s ciljem osiguranja načela dobrog upravljanja i uspješne provedbe javnih politika.</w:t>
            </w:r>
          </w:p>
        </w:tc>
        <w:tc>
          <w:tcPr>
            <w:tcW w:w="517" w:type="dxa"/>
            <w:hideMark/>
          </w:tcPr>
          <w:p w14:paraId="6FFCE9C7"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4Q/2024.</w:t>
            </w:r>
          </w:p>
        </w:tc>
        <w:tc>
          <w:tcPr>
            <w:tcW w:w="916" w:type="dxa"/>
            <w:hideMark/>
          </w:tcPr>
          <w:p w14:paraId="54A17000" w14:textId="34546D2F"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izrađena analiza institucionalnih potreba za stručnim usavršavanjem</w:t>
            </w:r>
            <w:r w:rsidRPr="00B3735C">
              <w:rPr>
                <w:rFonts w:ascii="Times New Roman" w:hAnsi="Times New Roman" w:cs="Times New Roman"/>
                <w:bCs/>
                <w:sz w:val="20"/>
                <w:szCs w:val="20"/>
              </w:rPr>
              <w:br/>
              <w:t xml:space="preserve">broj razvijenih programa usavršavanja prilagođenih potrebama radnih mjesta u javnoj upravi i javnim politikama iz nadležnosti TDU, JLP(R)S i TJV  </w:t>
            </w:r>
            <w:r w:rsidRPr="00B3735C">
              <w:rPr>
                <w:rFonts w:ascii="Times New Roman" w:hAnsi="Times New Roman" w:cs="Times New Roman"/>
                <w:bCs/>
                <w:sz w:val="20"/>
                <w:szCs w:val="20"/>
              </w:rPr>
              <w:br/>
              <w:t>broj izrađenih promotivnih materijala</w:t>
            </w:r>
            <w:r w:rsidR="00B3735C">
              <w:rPr>
                <w:rFonts w:ascii="Times New Roman" w:hAnsi="Times New Roman" w:cs="Times New Roman"/>
                <w:bCs/>
                <w:sz w:val="20"/>
                <w:szCs w:val="20"/>
              </w:rPr>
              <w:t xml:space="preserve"> </w:t>
            </w:r>
            <w:r w:rsidRPr="00B3735C">
              <w:rPr>
                <w:rFonts w:ascii="Times New Roman" w:hAnsi="Times New Roman" w:cs="Times New Roman"/>
                <w:bCs/>
                <w:sz w:val="20"/>
                <w:szCs w:val="20"/>
              </w:rPr>
              <w:t xml:space="preserve">broj održanih događanja vezanih uz  aktualnosti  u područjima dobrog upravljanja i provedbe javnih politika  </w:t>
            </w:r>
            <w:r w:rsidRPr="00B3735C">
              <w:rPr>
                <w:rFonts w:ascii="Times New Roman" w:hAnsi="Times New Roman" w:cs="Times New Roman"/>
                <w:bCs/>
                <w:sz w:val="20"/>
                <w:szCs w:val="20"/>
              </w:rPr>
              <w:br/>
              <w:t xml:space="preserve">broj izrađenih e-learning sadržaja  </w:t>
            </w:r>
          </w:p>
        </w:tc>
        <w:tc>
          <w:tcPr>
            <w:tcW w:w="707" w:type="dxa"/>
            <w:hideMark/>
          </w:tcPr>
          <w:p w14:paraId="5052A1D1" w14:textId="2182DC91"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DŠJU, u suradnji s TDU, JLP(R)S, TJV i Akademskom </w:t>
            </w:r>
            <w:r w:rsidR="00B3735C">
              <w:rPr>
                <w:rFonts w:ascii="Times New Roman" w:hAnsi="Times New Roman" w:cs="Times New Roman"/>
                <w:bCs/>
                <w:sz w:val="20"/>
                <w:szCs w:val="20"/>
              </w:rPr>
              <w:t>z</w:t>
            </w:r>
            <w:r w:rsidRPr="00B3735C">
              <w:rPr>
                <w:rFonts w:ascii="Times New Roman" w:hAnsi="Times New Roman" w:cs="Times New Roman"/>
                <w:bCs/>
                <w:sz w:val="20"/>
                <w:szCs w:val="20"/>
              </w:rPr>
              <w:t xml:space="preserve">ajednicom </w:t>
            </w:r>
          </w:p>
        </w:tc>
        <w:tc>
          <w:tcPr>
            <w:tcW w:w="744" w:type="dxa"/>
            <w:hideMark/>
          </w:tcPr>
          <w:p w14:paraId="0D16A565"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14.374.000 kn</w:t>
            </w:r>
          </w:p>
        </w:tc>
        <w:tc>
          <w:tcPr>
            <w:tcW w:w="744" w:type="dxa"/>
            <w:hideMark/>
          </w:tcPr>
          <w:p w14:paraId="38D3DEB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744" w:type="dxa"/>
            <w:hideMark/>
          </w:tcPr>
          <w:p w14:paraId="331325B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804" w:type="dxa"/>
            <w:hideMark/>
          </w:tcPr>
          <w:p w14:paraId="00998E4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14.374.000 kn</w:t>
            </w:r>
          </w:p>
        </w:tc>
        <w:tc>
          <w:tcPr>
            <w:tcW w:w="804" w:type="dxa"/>
            <w:hideMark/>
          </w:tcPr>
          <w:p w14:paraId="1DF5171C"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14.374.000 kn</w:t>
            </w:r>
          </w:p>
        </w:tc>
        <w:tc>
          <w:tcPr>
            <w:tcW w:w="862" w:type="dxa"/>
            <w:hideMark/>
          </w:tcPr>
          <w:p w14:paraId="5E845FA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DŠJU Proračunska aktivnost A677028 - Provedba programa stručnog usavršavanja i izobrazbe i Proračunska aktivnost A677022 OP Učinkoviti ljudski potencijali 2014-2020</w:t>
            </w:r>
          </w:p>
        </w:tc>
      </w:tr>
      <w:tr w:rsidR="00793828" w:rsidRPr="00B3735C" w14:paraId="19A040AE" w14:textId="77777777" w:rsidTr="006C449F">
        <w:trPr>
          <w:trHeight w:val="557"/>
        </w:trPr>
        <w:tc>
          <w:tcPr>
            <w:tcW w:w="1172" w:type="dxa"/>
            <w:hideMark/>
          </w:tcPr>
          <w:p w14:paraId="00D8580F"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Cjeloviti programi izobrazbe za rukovodeće službenike i dužnosnike</w:t>
            </w:r>
          </w:p>
        </w:tc>
        <w:tc>
          <w:tcPr>
            <w:tcW w:w="1382" w:type="dxa"/>
            <w:hideMark/>
          </w:tcPr>
          <w:p w14:paraId="06B6F113" w14:textId="25ED7AFE"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Svrha je uspostava modularnih programa usavršavanja i osta</w:t>
            </w:r>
            <w:r w:rsidR="00B3735C">
              <w:rPr>
                <w:rFonts w:ascii="Times New Roman" w:hAnsi="Times New Roman" w:cs="Times New Roman"/>
                <w:bCs/>
                <w:sz w:val="20"/>
                <w:szCs w:val="20"/>
              </w:rPr>
              <w:t>l</w:t>
            </w:r>
            <w:r w:rsidRPr="00B3735C">
              <w:rPr>
                <w:rFonts w:ascii="Times New Roman" w:hAnsi="Times New Roman" w:cs="Times New Roman"/>
                <w:bCs/>
                <w:sz w:val="20"/>
                <w:szCs w:val="20"/>
              </w:rPr>
              <w:t>ih prilagođenih pripadajućih  aktivnosti za dužnosničku i razinu rukovodećih službenika koje imaju za cilj jačanje njihovih kompetencija.</w:t>
            </w:r>
            <w:r w:rsidRPr="00B3735C">
              <w:rPr>
                <w:rFonts w:ascii="Times New Roman" w:hAnsi="Times New Roman" w:cs="Times New Roman"/>
                <w:bCs/>
                <w:sz w:val="20"/>
                <w:szCs w:val="20"/>
              </w:rPr>
              <w:br/>
              <w:t xml:space="preserve">Uloga dužnosnika i rukovoditelja javnog </w:t>
            </w:r>
            <w:r w:rsidRPr="00B3735C">
              <w:rPr>
                <w:rFonts w:ascii="Times New Roman" w:hAnsi="Times New Roman" w:cs="Times New Roman"/>
                <w:bCs/>
                <w:sz w:val="20"/>
                <w:szCs w:val="20"/>
              </w:rPr>
              <w:lastRenderedPageBreak/>
              <w:t xml:space="preserve">sektora je od izuzetne važnosti u procesu uspostave principa dobrog upravljanja                                        </w:t>
            </w:r>
            <w:r w:rsidRPr="00B3735C">
              <w:rPr>
                <w:rFonts w:ascii="Times New Roman" w:hAnsi="Times New Roman" w:cs="Times New Roman"/>
                <w:bCs/>
                <w:sz w:val="20"/>
                <w:szCs w:val="20"/>
              </w:rPr>
              <w:br/>
              <w:t>Pripadajuće  aktivnosti potrebno je osmisliti na način koji će odgovarati upravo njihovim specifičnim potrebama s obzirom na visoku razinu odgovornosti, zahtjeve i izazove s kojima se suočavaju u administrativnom okruženju.</w:t>
            </w:r>
          </w:p>
        </w:tc>
        <w:tc>
          <w:tcPr>
            <w:tcW w:w="517" w:type="dxa"/>
            <w:hideMark/>
          </w:tcPr>
          <w:p w14:paraId="334B0D2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4Q/2024.</w:t>
            </w:r>
          </w:p>
        </w:tc>
        <w:tc>
          <w:tcPr>
            <w:tcW w:w="916" w:type="dxa"/>
            <w:hideMark/>
          </w:tcPr>
          <w:p w14:paraId="6144F07D" w14:textId="62F623D9"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izrađeno izvješće o procjeni potreba</w:t>
            </w:r>
            <w:r w:rsidRPr="00B3735C">
              <w:rPr>
                <w:rFonts w:ascii="Times New Roman" w:hAnsi="Times New Roman" w:cs="Times New Roman"/>
                <w:bCs/>
                <w:sz w:val="20"/>
                <w:szCs w:val="20"/>
              </w:rPr>
              <w:br/>
              <w:t>izmijenjen zakonodavni okvir</w:t>
            </w:r>
            <w:r w:rsidRPr="00B3735C">
              <w:rPr>
                <w:rFonts w:ascii="Times New Roman" w:hAnsi="Times New Roman" w:cs="Times New Roman"/>
                <w:bCs/>
                <w:sz w:val="20"/>
                <w:szCs w:val="20"/>
              </w:rPr>
              <w:br/>
              <w:t xml:space="preserve">broj razvijenih i provedenih programa izobrazbe za dužnosnike i </w:t>
            </w:r>
            <w:r w:rsidRPr="00B3735C">
              <w:rPr>
                <w:rFonts w:ascii="Times New Roman" w:hAnsi="Times New Roman" w:cs="Times New Roman"/>
                <w:bCs/>
                <w:sz w:val="20"/>
                <w:szCs w:val="20"/>
              </w:rPr>
              <w:lastRenderedPageBreak/>
              <w:t xml:space="preserve">rukovodeće službenike                                   </w:t>
            </w:r>
            <w:r w:rsidRPr="00B3735C">
              <w:rPr>
                <w:rFonts w:ascii="Times New Roman" w:hAnsi="Times New Roman" w:cs="Times New Roman"/>
                <w:bCs/>
                <w:sz w:val="20"/>
                <w:szCs w:val="20"/>
              </w:rPr>
              <w:br/>
              <w:t xml:space="preserve">broj dužnosnika i rukovodećih službenika koji su sudjelovali na programima usavršavanja </w:t>
            </w:r>
            <w:r w:rsidRPr="00B3735C">
              <w:rPr>
                <w:rFonts w:ascii="Times New Roman" w:hAnsi="Times New Roman" w:cs="Times New Roman"/>
                <w:bCs/>
                <w:sz w:val="20"/>
                <w:szCs w:val="20"/>
              </w:rPr>
              <w:br/>
              <w:t>revidirani i metodološki pobol</w:t>
            </w:r>
            <w:r w:rsidR="00A35106">
              <w:rPr>
                <w:rFonts w:ascii="Times New Roman" w:hAnsi="Times New Roman" w:cs="Times New Roman"/>
                <w:bCs/>
                <w:sz w:val="20"/>
                <w:szCs w:val="20"/>
              </w:rPr>
              <w:t>j</w:t>
            </w:r>
            <w:r w:rsidRPr="00B3735C">
              <w:rPr>
                <w:rFonts w:ascii="Times New Roman" w:hAnsi="Times New Roman" w:cs="Times New Roman"/>
                <w:bCs/>
                <w:sz w:val="20"/>
                <w:szCs w:val="20"/>
              </w:rPr>
              <w:t>š</w:t>
            </w:r>
            <w:r w:rsidR="00A35106">
              <w:rPr>
                <w:rFonts w:ascii="Times New Roman" w:hAnsi="Times New Roman" w:cs="Times New Roman"/>
                <w:bCs/>
                <w:sz w:val="20"/>
                <w:szCs w:val="20"/>
              </w:rPr>
              <w:t>a</w:t>
            </w:r>
            <w:r w:rsidRPr="00B3735C">
              <w:rPr>
                <w:rFonts w:ascii="Times New Roman" w:hAnsi="Times New Roman" w:cs="Times New Roman"/>
                <w:bCs/>
                <w:sz w:val="20"/>
                <w:szCs w:val="20"/>
              </w:rPr>
              <w:t xml:space="preserve">ni programi Dobro upravljanje lokalnih lidera i Program za rukovodeće državne službenike </w:t>
            </w:r>
          </w:p>
        </w:tc>
        <w:tc>
          <w:tcPr>
            <w:tcW w:w="707" w:type="dxa"/>
            <w:hideMark/>
          </w:tcPr>
          <w:p w14:paraId="2CCAE70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lastRenderedPageBreak/>
              <w:t>DŠJU, u suradnji s MPU</w:t>
            </w:r>
          </w:p>
        </w:tc>
        <w:tc>
          <w:tcPr>
            <w:tcW w:w="744" w:type="dxa"/>
            <w:hideMark/>
          </w:tcPr>
          <w:p w14:paraId="7F0CEF9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744" w:type="dxa"/>
            <w:hideMark/>
          </w:tcPr>
          <w:p w14:paraId="2E5193E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415.000 kn</w:t>
            </w:r>
          </w:p>
        </w:tc>
        <w:tc>
          <w:tcPr>
            <w:tcW w:w="744" w:type="dxa"/>
            <w:hideMark/>
          </w:tcPr>
          <w:p w14:paraId="0AA50454"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455.000 kn</w:t>
            </w:r>
          </w:p>
        </w:tc>
        <w:tc>
          <w:tcPr>
            <w:tcW w:w="804" w:type="dxa"/>
            <w:hideMark/>
          </w:tcPr>
          <w:p w14:paraId="77A3CF72"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870.000 kn</w:t>
            </w:r>
          </w:p>
        </w:tc>
        <w:tc>
          <w:tcPr>
            <w:tcW w:w="804" w:type="dxa"/>
            <w:hideMark/>
          </w:tcPr>
          <w:p w14:paraId="625A4CD0"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870.000 kn</w:t>
            </w:r>
          </w:p>
        </w:tc>
        <w:tc>
          <w:tcPr>
            <w:tcW w:w="862" w:type="dxa"/>
            <w:hideMark/>
          </w:tcPr>
          <w:p w14:paraId="3D419FE7"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 xml:space="preserve">DŠJU Proračunska aktivnost A677028-Provedba programa stručnog usavršavanja i izobrazbe                        </w:t>
            </w:r>
          </w:p>
        </w:tc>
      </w:tr>
      <w:tr w:rsidR="00793828" w:rsidRPr="00B3735C" w14:paraId="7D215395" w14:textId="77777777" w:rsidTr="00793828">
        <w:trPr>
          <w:trHeight w:val="2040"/>
        </w:trPr>
        <w:tc>
          <w:tcPr>
            <w:tcW w:w="1172" w:type="dxa"/>
            <w:hideMark/>
          </w:tcPr>
          <w:p w14:paraId="33DE0BEF"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t>Uspostava Centra izvrsnosti za javne financije (upravu) u DŠJU</w:t>
            </w:r>
          </w:p>
        </w:tc>
        <w:tc>
          <w:tcPr>
            <w:tcW w:w="1382" w:type="dxa"/>
            <w:hideMark/>
          </w:tcPr>
          <w:p w14:paraId="687C968E" w14:textId="0315F9F1"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Uspostava jedinice sa zadatkom praćenja, razvoja i  izobrazbe dužnosnika i službenika u području javnih financija i svih pripadajućih ključnih tema iz tog područja s ciljem kontinuirane provedbe programa usavrša</w:t>
            </w:r>
            <w:r w:rsidR="006C449F">
              <w:rPr>
                <w:rFonts w:ascii="Times New Roman" w:hAnsi="Times New Roman" w:cs="Times New Roman"/>
                <w:bCs/>
                <w:sz w:val="20"/>
                <w:szCs w:val="20"/>
              </w:rPr>
              <w:t>va</w:t>
            </w:r>
            <w:r w:rsidRPr="00B3735C">
              <w:rPr>
                <w:rFonts w:ascii="Times New Roman" w:hAnsi="Times New Roman" w:cs="Times New Roman"/>
                <w:bCs/>
                <w:sz w:val="20"/>
                <w:szCs w:val="20"/>
              </w:rPr>
              <w:t>nja čija je svrha osigurati poštivanja zakona i drugih propisa te ekonomično, učinkovito i djelotvorno upravljanje proračunskim sredstvima.</w:t>
            </w:r>
          </w:p>
        </w:tc>
        <w:tc>
          <w:tcPr>
            <w:tcW w:w="517" w:type="dxa"/>
            <w:hideMark/>
          </w:tcPr>
          <w:p w14:paraId="0EA8B169"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4Q/2024.</w:t>
            </w:r>
          </w:p>
        </w:tc>
        <w:tc>
          <w:tcPr>
            <w:tcW w:w="916" w:type="dxa"/>
            <w:hideMark/>
          </w:tcPr>
          <w:p w14:paraId="78AACB3A"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izrađena analiza stanja</w:t>
            </w:r>
            <w:r w:rsidRPr="00B3735C">
              <w:rPr>
                <w:rFonts w:ascii="Times New Roman" w:hAnsi="Times New Roman" w:cs="Times New Roman"/>
                <w:bCs/>
                <w:sz w:val="20"/>
                <w:szCs w:val="20"/>
              </w:rPr>
              <w:br/>
              <w:t>izrađeni moduli prilagođeni pojedinim ciljanim skupinama</w:t>
            </w:r>
            <w:r w:rsidRPr="00B3735C">
              <w:rPr>
                <w:rFonts w:ascii="Times New Roman" w:hAnsi="Times New Roman" w:cs="Times New Roman"/>
                <w:bCs/>
                <w:sz w:val="20"/>
                <w:szCs w:val="20"/>
              </w:rPr>
              <w:br/>
              <w:t>broj službenika koji su završili program izobrazbe u području javnih financija</w:t>
            </w:r>
            <w:r w:rsidRPr="00B3735C">
              <w:rPr>
                <w:rFonts w:ascii="Times New Roman" w:hAnsi="Times New Roman" w:cs="Times New Roman"/>
                <w:bCs/>
                <w:sz w:val="20"/>
                <w:szCs w:val="20"/>
              </w:rPr>
              <w:br/>
              <w:t xml:space="preserve">broj trenera u području javnih financija </w:t>
            </w:r>
          </w:p>
        </w:tc>
        <w:tc>
          <w:tcPr>
            <w:tcW w:w="707" w:type="dxa"/>
            <w:hideMark/>
          </w:tcPr>
          <w:p w14:paraId="4B437837"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DŠJU, u suradnji s MFIN (IJF)</w:t>
            </w:r>
          </w:p>
        </w:tc>
        <w:tc>
          <w:tcPr>
            <w:tcW w:w="744" w:type="dxa"/>
            <w:hideMark/>
          </w:tcPr>
          <w:p w14:paraId="7667B177"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0 kn</w:t>
            </w:r>
          </w:p>
        </w:tc>
        <w:tc>
          <w:tcPr>
            <w:tcW w:w="744" w:type="dxa"/>
            <w:hideMark/>
          </w:tcPr>
          <w:p w14:paraId="03101A1F"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415.000 kn</w:t>
            </w:r>
          </w:p>
        </w:tc>
        <w:tc>
          <w:tcPr>
            <w:tcW w:w="744" w:type="dxa"/>
            <w:hideMark/>
          </w:tcPr>
          <w:p w14:paraId="1BC6BC5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455.000 kn</w:t>
            </w:r>
          </w:p>
        </w:tc>
        <w:tc>
          <w:tcPr>
            <w:tcW w:w="804" w:type="dxa"/>
            <w:hideMark/>
          </w:tcPr>
          <w:p w14:paraId="32349F2B"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870.000 kn</w:t>
            </w:r>
          </w:p>
        </w:tc>
        <w:tc>
          <w:tcPr>
            <w:tcW w:w="804" w:type="dxa"/>
            <w:hideMark/>
          </w:tcPr>
          <w:p w14:paraId="27CAF044"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870.000 kn</w:t>
            </w:r>
          </w:p>
        </w:tc>
        <w:tc>
          <w:tcPr>
            <w:tcW w:w="862" w:type="dxa"/>
            <w:hideMark/>
          </w:tcPr>
          <w:p w14:paraId="2F702AA9" w14:textId="77777777" w:rsidR="00793828" w:rsidRPr="00B3735C" w:rsidRDefault="00793828" w:rsidP="00B3735C">
            <w:pPr>
              <w:rPr>
                <w:rFonts w:ascii="Times New Roman" w:hAnsi="Times New Roman" w:cs="Times New Roman"/>
                <w:bCs/>
                <w:sz w:val="20"/>
                <w:szCs w:val="20"/>
              </w:rPr>
            </w:pPr>
            <w:r w:rsidRPr="00B3735C">
              <w:rPr>
                <w:rFonts w:ascii="Times New Roman" w:hAnsi="Times New Roman" w:cs="Times New Roman"/>
                <w:bCs/>
                <w:sz w:val="20"/>
                <w:szCs w:val="20"/>
              </w:rPr>
              <w:t>DŠJU Proračunska aktivnost A677028-Provedba programa stručnog usavršavanja i izobrazbe</w:t>
            </w:r>
          </w:p>
        </w:tc>
      </w:tr>
      <w:tr w:rsidR="00793828" w:rsidRPr="00B3735C" w14:paraId="644937AA" w14:textId="77777777" w:rsidTr="00793828">
        <w:trPr>
          <w:trHeight w:val="2419"/>
        </w:trPr>
        <w:tc>
          <w:tcPr>
            <w:tcW w:w="1172" w:type="dxa"/>
            <w:hideMark/>
          </w:tcPr>
          <w:p w14:paraId="02907232" w14:textId="77777777" w:rsidR="00793828" w:rsidRPr="00793828" w:rsidRDefault="00793828" w:rsidP="00B3735C">
            <w:pPr>
              <w:rPr>
                <w:rFonts w:ascii="Times New Roman" w:hAnsi="Times New Roman" w:cs="Times New Roman"/>
                <w:b/>
                <w:bCs/>
                <w:sz w:val="20"/>
                <w:szCs w:val="20"/>
              </w:rPr>
            </w:pPr>
            <w:r w:rsidRPr="00793828">
              <w:rPr>
                <w:rFonts w:ascii="Times New Roman" w:hAnsi="Times New Roman" w:cs="Times New Roman"/>
                <w:b/>
                <w:bCs/>
                <w:sz w:val="20"/>
                <w:szCs w:val="20"/>
              </w:rPr>
              <w:lastRenderedPageBreak/>
              <w:t xml:space="preserve">Uvođenje programa za usavršavanje digitalnih vještina/kompetencija službenika </w:t>
            </w:r>
          </w:p>
        </w:tc>
        <w:tc>
          <w:tcPr>
            <w:tcW w:w="1382" w:type="dxa"/>
            <w:hideMark/>
          </w:tcPr>
          <w:p w14:paraId="7A798D66" w14:textId="78BB2E12"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U skladu s važe</w:t>
            </w:r>
            <w:r w:rsidR="006C449F">
              <w:rPr>
                <w:rFonts w:ascii="Times New Roman" w:hAnsi="Times New Roman" w:cs="Times New Roman"/>
                <w:bCs/>
                <w:sz w:val="20"/>
                <w:szCs w:val="20"/>
              </w:rPr>
              <w:t>ć</w:t>
            </w:r>
            <w:r w:rsidRPr="006C449F">
              <w:rPr>
                <w:rFonts w:ascii="Times New Roman" w:hAnsi="Times New Roman" w:cs="Times New Roman"/>
                <w:bCs/>
                <w:sz w:val="20"/>
                <w:szCs w:val="20"/>
              </w:rPr>
              <w:t xml:space="preserve">im strateškim dokumentima i postojećim  procjenama potreba izobrazbe službenika navodi se  važnost i potreba za razvojem i jačanjem digitalnih kompetencija u 5 područja (obrada  informacija i informatička pismenost, komunikacija i suradnja, kreiranje digitalnih sadržaja, sigurnost te rješavanje problema) kako bi mogli doprinijeti učinkovitosti i poboljšanju poslovne produktivnosti javne uprave. </w:t>
            </w:r>
          </w:p>
        </w:tc>
        <w:tc>
          <w:tcPr>
            <w:tcW w:w="517" w:type="dxa"/>
            <w:hideMark/>
          </w:tcPr>
          <w:p w14:paraId="24328CD4"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4Q/2024.</w:t>
            </w:r>
          </w:p>
        </w:tc>
        <w:tc>
          <w:tcPr>
            <w:tcW w:w="916" w:type="dxa"/>
            <w:hideMark/>
          </w:tcPr>
          <w:p w14:paraId="4251547E" w14:textId="10D7628D" w:rsidR="00793828" w:rsidRPr="006C449F" w:rsidRDefault="006C449F" w:rsidP="00B3735C">
            <w:pPr>
              <w:rPr>
                <w:rFonts w:ascii="Times New Roman" w:hAnsi="Times New Roman" w:cs="Times New Roman"/>
                <w:bCs/>
                <w:sz w:val="20"/>
                <w:szCs w:val="20"/>
              </w:rPr>
            </w:pPr>
            <w:r>
              <w:rPr>
                <w:rFonts w:ascii="Times New Roman" w:hAnsi="Times New Roman" w:cs="Times New Roman"/>
                <w:bCs/>
                <w:sz w:val="20"/>
                <w:szCs w:val="20"/>
              </w:rPr>
              <w:t>I</w:t>
            </w:r>
            <w:r w:rsidR="00793828" w:rsidRPr="006C449F">
              <w:rPr>
                <w:rFonts w:ascii="Times New Roman" w:hAnsi="Times New Roman" w:cs="Times New Roman"/>
                <w:bCs/>
                <w:sz w:val="20"/>
                <w:szCs w:val="20"/>
              </w:rPr>
              <w:t>zrađena analiza</w:t>
            </w:r>
            <w:r w:rsidR="00793828" w:rsidRPr="006C449F">
              <w:rPr>
                <w:rFonts w:ascii="Times New Roman" w:hAnsi="Times New Roman" w:cs="Times New Roman"/>
                <w:bCs/>
                <w:sz w:val="20"/>
                <w:szCs w:val="20"/>
              </w:rPr>
              <w:br/>
              <w:t xml:space="preserve">broj razvijenih modula </w:t>
            </w:r>
            <w:r w:rsidR="00793828" w:rsidRPr="006C449F">
              <w:rPr>
                <w:rFonts w:ascii="Times New Roman" w:hAnsi="Times New Roman" w:cs="Times New Roman"/>
                <w:bCs/>
                <w:sz w:val="20"/>
                <w:szCs w:val="20"/>
              </w:rPr>
              <w:br/>
              <w:t xml:space="preserve">broj službenika koji su sudjelovali na programima </w:t>
            </w:r>
            <w:r w:rsidR="00793828" w:rsidRPr="006C449F">
              <w:rPr>
                <w:rFonts w:ascii="Times New Roman" w:hAnsi="Times New Roman" w:cs="Times New Roman"/>
                <w:bCs/>
                <w:sz w:val="20"/>
                <w:szCs w:val="20"/>
              </w:rPr>
              <w:br/>
              <w:t xml:space="preserve">broj novih trenera s odgovarajućim certifikatima </w:t>
            </w:r>
          </w:p>
        </w:tc>
        <w:tc>
          <w:tcPr>
            <w:tcW w:w="707" w:type="dxa"/>
            <w:hideMark/>
          </w:tcPr>
          <w:p w14:paraId="45233772"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 xml:space="preserve">DŠJU, TDU, JLPRS, MPU, SDURD </w:t>
            </w:r>
          </w:p>
        </w:tc>
        <w:tc>
          <w:tcPr>
            <w:tcW w:w="744" w:type="dxa"/>
            <w:hideMark/>
          </w:tcPr>
          <w:p w14:paraId="7312E9CD"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744" w:type="dxa"/>
            <w:hideMark/>
          </w:tcPr>
          <w:p w14:paraId="37A05210"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415.000 kn</w:t>
            </w:r>
          </w:p>
        </w:tc>
        <w:tc>
          <w:tcPr>
            <w:tcW w:w="744" w:type="dxa"/>
            <w:hideMark/>
          </w:tcPr>
          <w:p w14:paraId="1C78FB91"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455.000 kn</w:t>
            </w:r>
          </w:p>
        </w:tc>
        <w:tc>
          <w:tcPr>
            <w:tcW w:w="804" w:type="dxa"/>
            <w:hideMark/>
          </w:tcPr>
          <w:p w14:paraId="6857B5A7"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870.000 kn</w:t>
            </w:r>
          </w:p>
        </w:tc>
        <w:tc>
          <w:tcPr>
            <w:tcW w:w="804" w:type="dxa"/>
            <w:hideMark/>
          </w:tcPr>
          <w:p w14:paraId="07E0A88E"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870.000 kn</w:t>
            </w:r>
          </w:p>
        </w:tc>
        <w:tc>
          <w:tcPr>
            <w:tcW w:w="862" w:type="dxa"/>
            <w:hideMark/>
          </w:tcPr>
          <w:p w14:paraId="50AEFDBE" w14:textId="77777777" w:rsidR="00793828" w:rsidRPr="006C449F" w:rsidRDefault="00793828" w:rsidP="00B3735C">
            <w:pPr>
              <w:rPr>
                <w:rFonts w:ascii="Times New Roman" w:hAnsi="Times New Roman" w:cs="Times New Roman"/>
                <w:bCs/>
                <w:sz w:val="20"/>
                <w:szCs w:val="20"/>
              </w:rPr>
            </w:pPr>
            <w:r w:rsidRPr="006C449F">
              <w:rPr>
                <w:rFonts w:ascii="Times New Roman" w:hAnsi="Times New Roman" w:cs="Times New Roman"/>
                <w:bCs/>
                <w:sz w:val="20"/>
                <w:szCs w:val="20"/>
              </w:rPr>
              <w:t>DŠJU Proračunska aktivnost A677028-Provedba programa stručnog usavršavanja i izobrazbe</w:t>
            </w:r>
          </w:p>
        </w:tc>
      </w:tr>
      <w:tr w:rsidR="00793828" w:rsidRPr="00793828" w14:paraId="5E89AFE1" w14:textId="77777777" w:rsidTr="00793828">
        <w:trPr>
          <w:trHeight w:val="840"/>
        </w:trPr>
        <w:tc>
          <w:tcPr>
            <w:tcW w:w="1172" w:type="dxa"/>
            <w:hideMark/>
          </w:tcPr>
          <w:p w14:paraId="67E96632" w14:textId="77777777" w:rsidR="00793828" w:rsidRPr="00793828" w:rsidRDefault="00793828" w:rsidP="00793828">
            <w:pPr>
              <w:ind w:firstLine="708"/>
              <w:rPr>
                <w:rFonts w:ascii="Times New Roman" w:hAnsi="Times New Roman" w:cs="Times New Roman"/>
                <w:b/>
                <w:bCs/>
                <w:sz w:val="20"/>
                <w:szCs w:val="20"/>
              </w:rPr>
            </w:pPr>
            <w:r w:rsidRPr="00793828">
              <w:rPr>
                <w:rFonts w:ascii="Times New Roman" w:hAnsi="Times New Roman" w:cs="Times New Roman"/>
                <w:b/>
                <w:bCs/>
                <w:sz w:val="20"/>
                <w:szCs w:val="20"/>
              </w:rPr>
              <w:t> </w:t>
            </w:r>
          </w:p>
        </w:tc>
        <w:tc>
          <w:tcPr>
            <w:tcW w:w="1382" w:type="dxa"/>
            <w:hideMark/>
          </w:tcPr>
          <w:p w14:paraId="00028C85" w14:textId="77777777" w:rsidR="00793828" w:rsidRPr="00793828" w:rsidRDefault="00793828" w:rsidP="00793828">
            <w:pPr>
              <w:ind w:firstLine="708"/>
              <w:rPr>
                <w:rFonts w:ascii="Times New Roman" w:hAnsi="Times New Roman" w:cs="Times New Roman"/>
                <w:b/>
                <w:bCs/>
                <w:sz w:val="20"/>
                <w:szCs w:val="20"/>
              </w:rPr>
            </w:pPr>
            <w:r w:rsidRPr="00793828">
              <w:rPr>
                <w:rFonts w:ascii="Times New Roman" w:hAnsi="Times New Roman" w:cs="Times New Roman"/>
                <w:b/>
                <w:bCs/>
                <w:sz w:val="20"/>
                <w:szCs w:val="20"/>
              </w:rPr>
              <w:t> </w:t>
            </w:r>
          </w:p>
        </w:tc>
        <w:tc>
          <w:tcPr>
            <w:tcW w:w="517" w:type="dxa"/>
            <w:noWrap/>
            <w:hideMark/>
          </w:tcPr>
          <w:p w14:paraId="7CD5838F" w14:textId="77777777" w:rsidR="00793828" w:rsidRPr="00793828" w:rsidRDefault="00793828" w:rsidP="00793828">
            <w:pPr>
              <w:ind w:firstLine="708"/>
              <w:rPr>
                <w:rFonts w:ascii="Times New Roman" w:hAnsi="Times New Roman" w:cs="Times New Roman"/>
                <w:b/>
                <w:bCs/>
                <w:sz w:val="20"/>
                <w:szCs w:val="20"/>
              </w:rPr>
            </w:pPr>
            <w:r w:rsidRPr="00793828">
              <w:rPr>
                <w:rFonts w:ascii="Times New Roman" w:hAnsi="Times New Roman" w:cs="Times New Roman"/>
                <w:b/>
                <w:bCs/>
                <w:sz w:val="20"/>
                <w:szCs w:val="20"/>
              </w:rPr>
              <w:t> </w:t>
            </w:r>
          </w:p>
        </w:tc>
        <w:tc>
          <w:tcPr>
            <w:tcW w:w="916" w:type="dxa"/>
            <w:hideMark/>
          </w:tcPr>
          <w:p w14:paraId="2624FC77" w14:textId="77777777" w:rsidR="00793828" w:rsidRPr="00793828" w:rsidRDefault="00793828" w:rsidP="000A28B6">
            <w:pPr>
              <w:jc w:val="center"/>
              <w:rPr>
                <w:rFonts w:ascii="Times New Roman" w:hAnsi="Times New Roman" w:cs="Times New Roman"/>
                <w:b/>
                <w:bCs/>
                <w:sz w:val="20"/>
                <w:szCs w:val="20"/>
              </w:rPr>
            </w:pPr>
            <w:r w:rsidRPr="00793828">
              <w:rPr>
                <w:rFonts w:ascii="Times New Roman" w:hAnsi="Times New Roman" w:cs="Times New Roman"/>
                <w:b/>
                <w:bCs/>
                <w:sz w:val="20"/>
                <w:szCs w:val="20"/>
              </w:rPr>
              <w:t>UKUPNO, trošak provedbe,  po godinama</w:t>
            </w:r>
          </w:p>
        </w:tc>
        <w:tc>
          <w:tcPr>
            <w:tcW w:w="707" w:type="dxa"/>
            <w:noWrap/>
            <w:hideMark/>
          </w:tcPr>
          <w:p w14:paraId="73F617B3" w14:textId="77777777" w:rsidR="00793828" w:rsidRPr="00793828" w:rsidRDefault="00793828" w:rsidP="00793828">
            <w:pPr>
              <w:ind w:firstLine="708"/>
              <w:rPr>
                <w:rFonts w:ascii="Times New Roman" w:hAnsi="Times New Roman" w:cs="Times New Roman"/>
                <w:b/>
                <w:bCs/>
                <w:sz w:val="20"/>
                <w:szCs w:val="20"/>
              </w:rPr>
            </w:pPr>
            <w:r w:rsidRPr="00793828">
              <w:rPr>
                <w:rFonts w:ascii="Times New Roman" w:hAnsi="Times New Roman" w:cs="Times New Roman"/>
                <w:b/>
                <w:bCs/>
                <w:sz w:val="20"/>
                <w:szCs w:val="20"/>
              </w:rPr>
              <w:t> </w:t>
            </w:r>
          </w:p>
        </w:tc>
        <w:tc>
          <w:tcPr>
            <w:tcW w:w="744" w:type="dxa"/>
            <w:noWrap/>
            <w:hideMark/>
          </w:tcPr>
          <w:p w14:paraId="42F83041" w14:textId="77777777" w:rsidR="00793828" w:rsidRPr="00793828" w:rsidRDefault="00793828" w:rsidP="00793828">
            <w:pPr>
              <w:rPr>
                <w:rFonts w:ascii="Times New Roman" w:hAnsi="Times New Roman" w:cs="Times New Roman"/>
                <w:b/>
                <w:bCs/>
                <w:sz w:val="20"/>
                <w:szCs w:val="20"/>
              </w:rPr>
            </w:pPr>
            <w:r w:rsidRPr="00793828">
              <w:rPr>
                <w:rFonts w:ascii="Times New Roman" w:hAnsi="Times New Roman" w:cs="Times New Roman"/>
                <w:b/>
                <w:bCs/>
                <w:sz w:val="20"/>
                <w:szCs w:val="20"/>
              </w:rPr>
              <w:t>38.864.833 kn</w:t>
            </w:r>
          </w:p>
        </w:tc>
        <w:tc>
          <w:tcPr>
            <w:tcW w:w="744" w:type="dxa"/>
            <w:noWrap/>
            <w:hideMark/>
          </w:tcPr>
          <w:p w14:paraId="465FFBC3" w14:textId="77777777" w:rsidR="00793828" w:rsidRPr="00793828" w:rsidRDefault="00793828" w:rsidP="00793828">
            <w:pPr>
              <w:rPr>
                <w:rFonts w:ascii="Times New Roman" w:hAnsi="Times New Roman" w:cs="Times New Roman"/>
                <w:b/>
                <w:bCs/>
                <w:sz w:val="20"/>
                <w:szCs w:val="20"/>
              </w:rPr>
            </w:pPr>
            <w:r w:rsidRPr="00793828">
              <w:rPr>
                <w:rFonts w:ascii="Times New Roman" w:hAnsi="Times New Roman" w:cs="Times New Roman"/>
                <w:b/>
                <w:bCs/>
                <w:sz w:val="20"/>
                <w:szCs w:val="20"/>
              </w:rPr>
              <w:t>92.772.701 kn</w:t>
            </w:r>
          </w:p>
        </w:tc>
        <w:tc>
          <w:tcPr>
            <w:tcW w:w="744" w:type="dxa"/>
            <w:noWrap/>
            <w:hideMark/>
          </w:tcPr>
          <w:p w14:paraId="6B4A52FC" w14:textId="77777777" w:rsidR="00793828" w:rsidRPr="00793828" w:rsidRDefault="00793828" w:rsidP="00793828">
            <w:pPr>
              <w:rPr>
                <w:rFonts w:ascii="Times New Roman" w:hAnsi="Times New Roman" w:cs="Times New Roman"/>
                <w:b/>
                <w:bCs/>
                <w:sz w:val="20"/>
                <w:szCs w:val="20"/>
              </w:rPr>
            </w:pPr>
            <w:r w:rsidRPr="00793828">
              <w:rPr>
                <w:rFonts w:ascii="Times New Roman" w:hAnsi="Times New Roman" w:cs="Times New Roman"/>
                <w:b/>
                <w:bCs/>
                <w:sz w:val="20"/>
                <w:szCs w:val="20"/>
              </w:rPr>
              <w:t>19.536.251 kn</w:t>
            </w:r>
          </w:p>
        </w:tc>
        <w:tc>
          <w:tcPr>
            <w:tcW w:w="804" w:type="dxa"/>
            <w:noWrap/>
            <w:hideMark/>
          </w:tcPr>
          <w:p w14:paraId="1D5E8403" w14:textId="77777777" w:rsidR="00793828" w:rsidRPr="00793828" w:rsidRDefault="00793828" w:rsidP="00793828">
            <w:pPr>
              <w:rPr>
                <w:rFonts w:ascii="Times New Roman" w:hAnsi="Times New Roman" w:cs="Times New Roman"/>
                <w:b/>
                <w:bCs/>
                <w:sz w:val="20"/>
                <w:szCs w:val="20"/>
              </w:rPr>
            </w:pPr>
            <w:r w:rsidRPr="00793828">
              <w:rPr>
                <w:rFonts w:ascii="Times New Roman" w:hAnsi="Times New Roman" w:cs="Times New Roman"/>
                <w:b/>
                <w:bCs/>
                <w:sz w:val="20"/>
                <w:szCs w:val="20"/>
              </w:rPr>
              <w:t>151.173.785 kn</w:t>
            </w:r>
          </w:p>
        </w:tc>
        <w:tc>
          <w:tcPr>
            <w:tcW w:w="804" w:type="dxa"/>
            <w:noWrap/>
            <w:hideMark/>
          </w:tcPr>
          <w:p w14:paraId="4DFB214F" w14:textId="77777777" w:rsidR="00793828" w:rsidRPr="00793828" w:rsidRDefault="00793828" w:rsidP="00793828">
            <w:pPr>
              <w:rPr>
                <w:rFonts w:ascii="Times New Roman" w:hAnsi="Times New Roman" w:cs="Times New Roman"/>
                <w:b/>
                <w:bCs/>
                <w:sz w:val="20"/>
                <w:szCs w:val="20"/>
              </w:rPr>
            </w:pPr>
            <w:r w:rsidRPr="00793828">
              <w:rPr>
                <w:rFonts w:ascii="Times New Roman" w:hAnsi="Times New Roman" w:cs="Times New Roman"/>
                <w:b/>
                <w:bCs/>
                <w:sz w:val="20"/>
                <w:szCs w:val="20"/>
              </w:rPr>
              <w:t>166.250.221 kn</w:t>
            </w:r>
          </w:p>
        </w:tc>
        <w:tc>
          <w:tcPr>
            <w:tcW w:w="862" w:type="dxa"/>
            <w:noWrap/>
            <w:hideMark/>
          </w:tcPr>
          <w:p w14:paraId="3639B2B6" w14:textId="77777777" w:rsidR="00793828" w:rsidRPr="00793828" w:rsidRDefault="00793828" w:rsidP="00793828">
            <w:pPr>
              <w:ind w:firstLine="708"/>
              <w:rPr>
                <w:rFonts w:ascii="Times New Roman" w:hAnsi="Times New Roman" w:cs="Times New Roman"/>
                <w:b/>
                <w:bCs/>
                <w:sz w:val="20"/>
                <w:szCs w:val="20"/>
              </w:rPr>
            </w:pPr>
            <w:r w:rsidRPr="00793828">
              <w:rPr>
                <w:rFonts w:ascii="Times New Roman" w:hAnsi="Times New Roman" w:cs="Times New Roman"/>
                <w:b/>
                <w:bCs/>
                <w:sz w:val="20"/>
                <w:szCs w:val="20"/>
              </w:rPr>
              <w:t> </w:t>
            </w:r>
          </w:p>
        </w:tc>
      </w:tr>
    </w:tbl>
    <w:p w14:paraId="0F581822" w14:textId="6034FBE4" w:rsidR="00980161" w:rsidRDefault="00980161" w:rsidP="007D4156">
      <w:pPr>
        <w:ind w:firstLine="708"/>
        <w:rPr>
          <w:rFonts w:ascii="Times New Roman" w:hAnsi="Times New Roman" w:cs="Times New Roman"/>
          <w:sz w:val="20"/>
          <w:szCs w:val="20"/>
        </w:rPr>
      </w:pPr>
      <w:r>
        <w:rPr>
          <w:rFonts w:ascii="Times New Roman" w:hAnsi="Times New Roman" w:cs="Times New Roman"/>
          <w:sz w:val="20"/>
          <w:szCs w:val="20"/>
        </w:rPr>
        <w:br w:type="page"/>
      </w:r>
    </w:p>
    <w:tbl>
      <w:tblPr>
        <w:tblStyle w:val="Reetkatablice"/>
        <w:tblW w:w="0" w:type="auto"/>
        <w:tblLook w:val="04A0" w:firstRow="1" w:lastRow="0" w:firstColumn="1" w:lastColumn="0" w:noHBand="0" w:noVBand="1"/>
      </w:tblPr>
      <w:tblGrid>
        <w:gridCol w:w="1327"/>
        <w:gridCol w:w="1583"/>
        <w:gridCol w:w="1016"/>
        <w:gridCol w:w="1550"/>
        <w:gridCol w:w="1450"/>
        <w:gridCol w:w="1261"/>
        <w:gridCol w:w="1261"/>
        <w:gridCol w:w="1261"/>
        <w:gridCol w:w="1116"/>
        <w:gridCol w:w="1283"/>
        <w:gridCol w:w="1372"/>
      </w:tblGrid>
      <w:tr w:rsidR="0061686D" w:rsidRPr="0061686D" w14:paraId="57B6598A" w14:textId="77777777" w:rsidTr="0061686D">
        <w:trPr>
          <w:trHeight w:val="540"/>
        </w:trPr>
        <w:tc>
          <w:tcPr>
            <w:tcW w:w="9396" w:type="dxa"/>
            <w:gridSpan w:val="11"/>
            <w:shd w:val="clear" w:color="auto" w:fill="FFF2CC" w:themeFill="accent4" w:themeFillTint="33"/>
            <w:hideMark/>
          </w:tcPr>
          <w:p w14:paraId="7C796220" w14:textId="3643A523" w:rsidR="0061686D" w:rsidRPr="0061686D" w:rsidRDefault="0061686D" w:rsidP="0061686D">
            <w:pPr>
              <w:ind w:firstLine="708"/>
              <w:jc w:val="center"/>
              <w:rPr>
                <w:rFonts w:ascii="Times New Roman" w:hAnsi="Times New Roman" w:cs="Times New Roman"/>
                <w:b/>
                <w:bCs/>
                <w:sz w:val="24"/>
                <w:szCs w:val="24"/>
              </w:rPr>
            </w:pPr>
            <w:r w:rsidRPr="0061686D">
              <w:rPr>
                <w:rFonts w:ascii="Times New Roman" w:hAnsi="Times New Roman" w:cs="Times New Roman"/>
                <w:b/>
                <w:bCs/>
                <w:sz w:val="24"/>
                <w:szCs w:val="24"/>
              </w:rPr>
              <w:lastRenderedPageBreak/>
              <w:t>Popis mjera za provedbu posebnog cilja 4</w:t>
            </w:r>
          </w:p>
        </w:tc>
      </w:tr>
      <w:tr w:rsidR="0061686D" w:rsidRPr="00CF387A" w14:paraId="7EDCAE56" w14:textId="77777777" w:rsidTr="0061686D">
        <w:trPr>
          <w:trHeight w:val="1999"/>
        </w:trPr>
        <w:tc>
          <w:tcPr>
            <w:tcW w:w="827" w:type="dxa"/>
            <w:hideMark/>
          </w:tcPr>
          <w:p w14:paraId="0995DCFA"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Naziv mjere</w:t>
            </w:r>
          </w:p>
        </w:tc>
        <w:tc>
          <w:tcPr>
            <w:tcW w:w="1008" w:type="dxa"/>
            <w:hideMark/>
          </w:tcPr>
          <w:p w14:paraId="554B0E21"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Svrha provedbe mjere</w:t>
            </w:r>
          </w:p>
        </w:tc>
        <w:tc>
          <w:tcPr>
            <w:tcW w:w="603" w:type="dxa"/>
            <w:hideMark/>
          </w:tcPr>
          <w:p w14:paraId="3B69E161"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 xml:space="preserve">Rok provedbe  mjere </w:t>
            </w:r>
            <w:r w:rsidRPr="0061686D">
              <w:rPr>
                <w:rFonts w:ascii="Times New Roman" w:hAnsi="Times New Roman" w:cs="Times New Roman"/>
                <w:b/>
                <w:bCs/>
                <w:sz w:val="20"/>
                <w:szCs w:val="20"/>
              </w:rPr>
              <w:br/>
              <w:t>(kvartal, godina)</w:t>
            </w:r>
          </w:p>
        </w:tc>
        <w:tc>
          <w:tcPr>
            <w:tcW w:w="985" w:type="dxa"/>
            <w:hideMark/>
          </w:tcPr>
          <w:p w14:paraId="67F81476"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Pokazatelj rezultata mjere</w:t>
            </w:r>
          </w:p>
        </w:tc>
        <w:tc>
          <w:tcPr>
            <w:tcW w:w="913" w:type="dxa"/>
            <w:hideMark/>
          </w:tcPr>
          <w:p w14:paraId="3335E4FC"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 xml:space="preserve">Nadležnost za provedbu </w:t>
            </w:r>
          </w:p>
        </w:tc>
        <w:tc>
          <w:tcPr>
            <w:tcW w:w="869" w:type="dxa"/>
            <w:hideMark/>
          </w:tcPr>
          <w:p w14:paraId="359E6386"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Procijenjeni trošak</w:t>
            </w:r>
            <w:r w:rsidRPr="0061686D">
              <w:rPr>
                <w:rFonts w:ascii="Times New Roman" w:hAnsi="Times New Roman" w:cs="Times New Roman"/>
                <w:b/>
                <w:bCs/>
                <w:sz w:val="20"/>
                <w:szCs w:val="20"/>
              </w:rPr>
              <w:br/>
              <w:t>provedbe mjere u 2022. godini</w:t>
            </w:r>
          </w:p>
        </w:tc>
        <w:tc>
          <w:tcPr>
            <w:tcW w:w="798" w:type="dxa"/>
            <w:hideMark/>
          </w:tcPr>
          <w:p w14:paraId="185CEC91"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Procijenjeni trošak</w:t>
            </w:r>
            <w:r w:rsidRPr="0061686D">
              <w:rPr>
                <w:rFonts w:ascii="Times New Roman" w:hAnsi="Times New Roman" w:cs="Times New Roman"/>
                <w:b/>
                <w:bCs/>
                <w:sz w:val="20"/>
                <w:szCs w:val="20"/>
              </w:rPr>
              <w:br/>
              <w:t>provedbe mjere  u 2023. godini</w:t>
            </w:r>
          </w:p>
        </w:tc>
        <w:tc>
          <w:tcPr>
            <w:tcW w:w="798" w:type="dxa"/>
            <w:hideMark/>
          </w:tcPr>
          <w:p w14:paraId="3FEC24D5"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Procijenjeni trošak</w:t>
            </w:r>
            <w:r w:rsidRPr="0061686D">
              <w:rPr>
                <w:rFonts w:ascii="Times New Roman" w:hAnsi="Times New Roman" w:cs="Times New Roman"/>
                <w:b/>
                <w:bCs/>
                <w:sz w:val="20"/>
                <w:szCs w:val="20"/>
              </w:rPr>
              <w:br/>
              <w:t>provedbe mjere  u 2024. godine</w:t>
            </w:r>
          </w:p>
        </w:tc>
        <w:tc>
          <w:tcPr>
            <w:tcW w:w="869" w:type="dxa"/>
            <w:hideMark/>
          </w:tcPr>
          <w:p w14:paraId="614DD505" w14:textId="77777777" w:rsidR="0061686D" w:rsidRPr="00CF387A" w:rsidRDefault="0061686D" w:rsidP="00CF387A">
            <w:pPr>
              <w:rPr>
                <w:rFonts w:ascii="Times New Roman" w:hAnsi="Times New Roman" w:cs="Times New Roman"/>
                <w:b/>
                <w:bCs/>
                <w:sz w:val="20"/>
                <w:szCs w:val="20"/>
              </w:rPr>
            </w:pPr>
            <w:r w:rsidRPr="00CF387A">
              <w:rPr>
                <w:rFonts w:ascii="Times New Roman" w:hAnsi="Times New Roman" w:cs="Times New Roman"/>
                <w:b/>
                <w:bCs/>
                <w:sz w:val="20"/>
                <w:szCs w:val="20"/>
              </w:rPr>
              <w:t xml:space="preserve">UKUPNO </w:t>
            </w:r>
            <w:r w:rsidRPr="00CF387A">
              <w:rPr>
                <w:rFonts w:ascii="Times New Roman" w:hAnsi="Times New Roman" w:cs="Times New Roman"/>
                <w:b/>
                <w:bCs/>
                <w:sz w:val="20"/>
                <w:szCs w:val="20"/>
              </w:rPr>
              <w:br/>
              <w:t>trošak provedbe u razdoblju provedbe Akcijskog plana 2022.-2024. godine</w:t>
            </w:r>
          </w:p>
        </w:tc>
        <w:tc>
          <w:tcPr>
            <w:tcW w:w="869" w:type="dxa"/>
            <w:hideMark/>
          </w:tcPr>
          <w:p w14:paraId="01F21243" w14:textId="77777777"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Ukupan procijenjeni trošak</w:t>
            </w:r>
            <w:r w:rsidRPr="0061686D">
              <w:rPr>
                <w:rFonts w:ascii="Times New Roman" w:hAnsi="Times New Roman" w:cs="Times New Roman"/>
                <w:b/>
                <w:bCs/>
                <w:sz w:val="20"/>
                <w:szCs w:val="20"/>
              </w:rPr>
              <w:br/>
              <w:t>provedbe mjere u razdoblju trajanja Nacionalnog plana (2022.- 2027. godine)</w:t>
            </w:r>
          </w:p>
        </w:tc>
        <w:tc>
          <w:tcPr>
            <w:tcW w:w="857" w:type="dxa"/>
            <w:hideMark/>
          </w:tcPr>
          <w:p w14:paraId="3EB347F7" w14:textId="623DBC01" w:rsidR="0061686D" w:rsidRPr="0061686D" w:rsidRDefault="0061686D" w:rsidP="00CF387A">
            <w:pPr>
              <w:rPr>
                <w:rFonts w:ascii="Times New Roman" w:hAnsi="Times New Roman" w:cs="Times New Roman"/>
                <w:b/>
                <w:bCs/>
                <w:sz w:val="20"/>
                <w:szCs w:val="20"/>
              </w:rPr>
            </w:pPr>
            <w:r w:rsidRPr="0061686D">
              <w:rPr>
                <w:rFonts w:ascii="Times New Roman" w:hAnsi="Times New Roman" w:cs="Times New Roman"/>
                <w:b/>
                <w:bCs/>
                <w:sz w:val="20"/>
                <w:szCs w:val="20"/>
              </w:rPr>
              <w:t>Planirani izvor financiranja u Državnom proračunu (proračun</w:t>
            </w:r>
            <w:r w:rsidRPr="00A35106">
              <w:rPr>
                <w:rFonts w:ascii="Times New Roman" w:hAnsi="Times New Roman" w:cs="Times New Roman"/>
                <w:b/>
                <w:bCs/>
                <w:sz w:val="20"/>
                <w:szCs w:val="20"/>
              </w:rPr>
              <w:t>s</w:t>
            </w:r>
            <w:r w:rsidRPr="0061686D">
              <w:rPr>
                <w:rFonts w:ascii="Times New Roman" w:hAnsi="Times New Roman" w:cs="Times New Roman"/>
                <w:b/>
                <w:bCs/>
                <w:sz w:val="20"/>
                <w:szCs w:val="20"/>
              </w:rPr>
              <w:t>ka aktivnost je navedena ukoliko je izvor financiranja DPRH)</w:t>
            </w:r>
          </w:p>
        </w:tc>
      </w:tr>
      <w:tr w:rsidR="00A35106" w:rsidRPr="006C449F" w14:paraId="463DC0EA" w14:textId="77777777" w:rsidTr="00DD1803">
        <w:trPr>
          <w:trHeight w:val="564"/>
        </w:trPr>
        <w:tc>
          <w:tcPr>
            <w:tcW w:w="827" w:type="dxa"/>
            <w:hideMark/>
          </w:tcPr>
          <w:p w14:paraId="731927C1" w14:textId="77777777" w:rsidR="0061686D" w:rsidRPr="0061686D" w:rsidRDefault="0061686D" w:rsidP="006C449F">
            <w:pPr>
              <w:rPr>
                <w:rFonts w:ascii="Times New Roman" w:hAnsi="Times New Roman" w:cs="Times New Roman"/>
                <w:b/>
                <w:bCs/>
                <w:sz w:val="20"/>
                <w:szCs w:val="20"/>
              </w:rPr>
            </w:pPr>
            <w:r w:rsidRPr="0061686D">
              <w:rPr>
                <w:rFonts w:ascii="Times New Roman" w:hAnsi="Times New Roman" w:cs="Times New Roman"/>
                <w:b/>
                <w:bCs/>
                <w:sz w:val="20"/>
                <w:szCs w:val="20"/>
              </w:rPr>
              <w:t xml:space="preserve">Djelotvorno i učinkovito upravljanje sustavom strateškog planiranja  </w:t>
            </w:r>
          </w:p>
        </w:tc>
        <w:tc>
          <w:tcPr>
            <w:tcW w:w="1008" w:type="dxa"/>
            <w:hideMark/>
          </w:tcPr>
          <w:p w14:paraId="27170389"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Povećati kvalitetu formuliranja i provedbe javnih politika, uskladiti sektorske prioritete, osnažiti međuresorne povezane učinke, ostvariti veći stupanj uspješnosti u provedbi javnih politika, te time utjecati na kvalitetnije usmjeravanje investicija iz fondova EU-a.</w:t>
            </w:r>
          </w:p>
        </w:tc>
        <w:tc>
          <w:tcPr>
            <w:tcW w:w="603" w:type="dxa"/>
            <w:hideMark/>
          </w:tcPr>
          <w:p w14:paraId="38EF7251"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4Q/2025.</w:t>
            </w:r>
          </w:p>
        </w:tc>
        <w:tc>
          <w:tcPr>
            <w:tcW w:w="985" w:type="dxa"/>
            <w:hideMark/>
          </w:tcPr>
          <w:p w14:paraId="55015535" w14:textId="1D356D38"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Udio dostavljenih nacrta akata strateškog planiranja koji zahtijevaju dodatni savjetodavni angažman Koordinacijskog tijela u cilju usklađivanja sadržaja sa metodologijom strateškog planiranja.                                                                                    Udio akata strateškog planiranja donesenih s pozitivnim prethodnim mišljenjem Koordinacijskog tijela</w:t>
            </w:r>
            <w:r w:rsidRPr="006C449F">
              <w:rPr>
                <w:rFonts w:ascii="Times New Roman" w:hAnsi="Times New Roman" w:cs="Times New Roman"/>
                <w:bCs/>
                <w:sz w:val="20"/>
                <w:szCs w:val="20"/>
              </w:rPr>
              <w:br/>
              <w:t xml:space="preserve">Uspostavljena koordinacija za praćenje i </w:t>
            </w:r>
            <w:r w:rsidRPr="006C449F">
              <w:rPr>
                <w:rFonts w:ascii="Times New Roman" w:hAnsi="Times New Roman" w:cs="Times New Roman"/>
                <w:bCs/>
                <w:sz w:val="20"/>
                <w:szCs w:val="20"/>
              </w:rPr>
              <w:lastRenderedPageBreak/>
              <w:t xml:space="preserve">vrednovanje javnih politika </w:t>
            </w:r>
          </w:p>
        </w:tc>
        <w:tc>
          <w:tcPr>
            <w:tcW w:w="913" w:type="dxa"/>
            <w:hideMark/>
          </w:tcPr>
          <w:p w14:paraId="2F2EAC8B"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lastRenderedPageBreak/>
              <w:t>MRRFEU - Koordinacijsko tijelo</w:t>
            </w:r>
          </w:p>
        </w:tc>
        <w:tc>
          <w:tcPr>
            <w:tcW w:w="869" w:type="dxa"/>
            <w:hideMark/>
          </w:tcPr>
          <w:p w14:paraId="2C9E259E"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788.000 kn</w:t>
            </w:r>
          </w:p>
        </w:tc>
        <w:tc>
          <w:tcPr>
            <w:tcW w:w="798" w:type="dxa"/>
            <w:hideMark/>
          </w:tcPr>
          <w:p w14:paraId="4A15DF10"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4.269.920 kn</w:t>
            </w:r>
          </w:p>
        </w:tc>
        <w:tc>
          <w:tcPr>
            <w:tcW w:w="798" w:type="dxa"/>
            <w:hideMark/>
          </w:tcPr>
          <w:p w14:paraId="441B3949"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4.488.380 kn</w:t>
            </w:r>
          </w:p>
        </w:tc>
        <w:tc>
          <w:tcPr>
            <w:tcW w:w="869" w:type="dxa"/>
            <w:hideMark/>
          </w:tcPr>
          <w:p w14:paraId="63718281"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9.546.300 kn</w:t>
            </w:r>
          </w:p>
        </w:tc>
        <w:tc>
          <w:tcPr>
            <w:tcW w:w="869" w:type="dxa"/>
            <w:hideMark/>
          </w:tcPr>
          <w:p w14:paraId="14A878AA"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10.760.750 kn</w:t>
            </w:r>
          </w:p>
        </w:tc>
        <w:tc>
          <w:tcPr>
            <w:tcW w:w="857" w:type="dxa"/>
            <w:hideMark/>
          </w:tcPr>
          <w:p w14:paraId="1E29D785"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A680052, 581 - Mehanizam za oporavak i otpornost</w:t>
            </w:r>
          </w:p>
        </w:tc>
      </w:tr>
      <w:tr w:rsidR="00A35106" w:rsidRPr="006C449F" w14:paraId="7EC230E9" w14:textId="77777777" w:rsidTr="0061686D">
        <w:trPr>
          <w:trHeight w:val="2220"/>
        </w:trPr>
        <w:tc>
          <w:tcPr>
            <w:tcW w:w="827" w:type="dxa"/>
            <w:hideMark/>
          </w:tcPr>
          <w:p w14:paraId="4A1EA24E" w14:textId="77777777" w:rsidR="0061686D" w:rsidRPr="0061686D" w:rsidRDefault="0061686D" w:rsidP="006C449F">
            <w:pPr>
              <w:rPr>
                <w:rFonts w:ascii="Times New Roman" w:hAnsi="Times New Roman" w:cs="Times New Roman"/>
                <w:b/>
                <w:bCs/>
                <w:sz w:val="20"/>
                <w:szCs w:val="20"/>
              </w:rPr>
            </w:pPr>
            <w:r w:rsidRPr="0061686D">
              <w:rPr>
                <w:rFonts w:ascii="Times New Roman" w:hAnsi="Times New Roman" w:cs="Times New Roman"/>
                <w:b/>
                <w:bCs/>
                <w:sz w:val="20"/>
                <w:szCs w:val="20"/>
              </w:rPr>
              <w:t>Jačanje kapaciteta i koordinacije za planiranje i provedbu javnih politika</w:t>
            </w:r>
          </w:p>
        </w:tc>
        <w:tc>
          <w:tcPr>
            <w:tcW w:w="1008" w:type="dxa"/>
            <w:hideMark/>
          </w:tcPr>
          <w:p w14:paraId="14456740"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Pružiti podršku državnim i javnim službenicima na svim razinama u stjecanju znanja i vještina koje omogućuju kvalitetnije formuliranje i provedbu javnih politika.</w:t>
            </w:r>
          </w:p>
        </w:tc>
        <w:tc>
          <w:tcPr>
            <w:tcW w:w="603" w:type="dxa"/>
            <w:hideMark/>
          </w:tcPr>
          <w:p w14:paraId="4596BEB8"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4Q/2025.</w:t>
            </w:r>
          </w:p>
        </w:tc>
        <w:tc>
          <w:tcPr>
            <w:tcW w:w="985" w:type="dxa"/>
            <w:hideMark/>
          </w:tcPr>
          <w:p w14:paraId="431F62B9" w14:textId="59D6B5F2"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Broj državnih i javnih službenika educiranih za obavljanje poslova strateškog planiranja (godišnje)                                    </w:t>
            </w:r>
            <w:r w:rsidRPr="006C449F">
              <w:rPr>
                <w:rFonts w:ascii="Times New Roman" w:hAnsi="Times New Roman" w:cs="Times New Roman"/>
                <w:bCs/>
                <w:sz w:val="20"/>
                <w:szCs w:val="20"/>
              </w:rPr>
              <w:br/>
              <w:t>Broj dostupnih programa/ modula izobrazbe o strateškom planiranju i provedbi javnih politika</w:t>
            </w:r>
          </w:p>
        </w:tc>
        <w:tc>
          <w:tcPr>
            <w:tcW w:w="913" w:type="dxa"/>
            <w:hideMark/>
          </w:tcPr>
          <w:p w14:paraId="261B30CB"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MRRFEU - Koordinacijsko tijelo</w:t>
            </w:r>
          </w:p>
        </w:tc>
        <w:tc>
          <w:tcPr>
            <w:tcW w:w="869" w:type="dxa"/>
            <w:hideMark/>
          </w:tcPr>
          <w:p w14:paraId="7C2BB090"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4.895.096 kn</w:t>
            </w:r>
          </w:p>
        </w:tc>
        <w:tc>
          <w:tcPr>
            <w:tcW w:w="798" w:type="dxa"/>
            <w:hideMark/>
          </w:tcPr>
          <w:p w14:paraId="332175D4"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1.949.388 kn</w:t>
            </w:r>
          </w:p>
        </w:tc>
        <w:tc>
          <w:tcPr>
            <w:tcW w:w="798" w:type="dxa"/>
            <w:hideMark/>
          </w:tcPr>
          <w:p w14:paraId="25B2270D"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69" w:type="dxa"/>
            <w:hideMark/>
          </w:tcPr>
          <w:p w14:paraId="3E90D9D1"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6.844.484 kn</w:t>
            </w:r>
          </w:p>
        </w:tc>
        <w:tc>
          <w:tcPr>
            <w:tcW w:w="869" w:type="dxa"/>
            <w:hideMark/>
          </w:tcPr>
          <w:p w14:paraId="5600F453"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10.596.560 kn</w:t>
            </w:r>
          </w:p>
        </w:tc>
        <w:tc>
          <w:tcPr>
            <w:tcW w:w="857" w:type="dxa"/>
            <w:hideMark/>
          </w:tcPr>
          <w:p w14:paraId="7DAA0657"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A758052, 573 - Instrumenti europskog gospodarskog prostora </w:t>
            </w:r>
          </w:p>
        </w:tc>
      </w:tr>
      <w:tr w:rsidR="00A35106" w:rsidRPr="006C449F" w14:paraId="57EEB3BB" w14:textId="77777777" w:rsidTr="00DD1803">
        <w:trPr>
          <w:trHeight w:val="1131"/>
        </w:trPr>
        <w:tc>
          <w:tcPr>
            <w:tcW w:w="827" w:type="dxa"/>
            <w:hideMark/>
          </w:tcPr>
          <w:p w14:paraId="7ADB5DD7" w14:textId="77777777" w:rsidR="0061686D" w:rsidRPr="0061686D" w:rsidRDefault="0061686D" w:rsidP="006C449F">
            <w:pPr>
              <w:rPr>
                <w:rFonts w:ascii="Times New Roman" w:hAnsi="Times New Roman" w:cs="Times New Roman"/>
                <w:b/>
                <w:bCs/>
                <w:sz w:val="20"/>
                <w:szCs w:val="20"/>
              </w:rPr>
            </w:pPr>
            <w:r w:rsidRPr="0061686D">
              <w:rPr>
                <w:rFonts w:ascii="Times New Roman" w:hAnsi="Times New Roman" w:cs="Times New Roman"/>
                <w:b/>
                <w:bCs/>
                <w:sz w:val="20"/>
                <w:szCs w:val="20"/>
              </w:rPr>
              <w:t xml:space="preserve">Jačanje operativnih kapaciteta javne uprave u pogledu regulatornih metodologija i procesa te razvoj modela potpore inovacijama i novim poslovnim modelima </w:t>
            </w:r>
          </w:p>
        </w:tc>
        <w:tc>
          <w:tcPr>
            <w:tcW w:w="1008" w:type="dxa"/>
            <w:hideMark/>
          </w:tcPr>
          <w:p w14:paraId="4CAC0368"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Unaprjeđenje postupaka procjene učinka na gospodarstvo, prvenstveno mala i srednja poduzeća, u postupku donošenja zakonskih i podzakonskih akata. Integralni proces izgradnje „regulatornog“ okruženja za inovativna i tehnološka područja koja nisu obuhvaćena postojećim zakonodavnim okvirom. </w:t>
            </w:r>
          </w:p>
        </w:tc>
        <w:tc>
          <w:tcPr>
            <w:tcW w:w="603" w:type="dxa"/>
            <w:noWrap/>
            <w:hideMark/>
          </w:tcPr>
          <w:p w14:paraId="7E0B81D2"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4Q/2025.</w:t>
            </w:r>
          </w:p>
        </w:tc>
        <w:tc>
          <w:tcPr>
            <w:tcW w:w="985" w:type="dxa"/>
            <w:hideMark/>
          </w:tcPr>
          <w:p w14:paraId="1A805BB7" w14:textId="31EC7944"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Usvojena unaprjeđena metodologija za postupke procjene učinka propisa na gospodarstvo</w:t>
            </w:r>
          </w:p>
        </w:tc>
        <w:tc>
          <w:tcPr>
            <w:tcW w:w="913" w:type="dxa"/>
            <w:hideMark/>
          </w:tcPr>
          <w:p w14:paraId="494B29DC"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MGOR</w:t>
            </w:r>
          </w:p>
        </w:tc>
        <w:tc>
          <w:tcPr>
            <w:tcW w:w="869" w:type="dxa"/>
            <w:hideMark/>
          </w:tcPr>
          <w:p w14:paraId="6391C778"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6.781.051 kn</w:t>
            </w:r>
          </w:p>
        </w:tc>
        <w:tc>
          <w:tcPr>
            <w:tcW w:w="798" w:type="dxa"/>
            <w:hideMark/>
          </w:tcPr>
          <w:p w14:paraId="6A9E2BAB"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979.485 kn</w:t>
            </w:r>
          </w:p>
        </w:tc>
        <w:tc>
          <w:tcPr>
            <w:tcW w:w="798" w:type="dxa"/>
            <w:hideMark/>
          </w:tcPr>
          <w:p w14:paraId="50FE4099"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69" w:type="dxa"/>
            <w:hideMark/>
          </w:tcPr>
          <w:p w14:paraId="450102A0"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7.760.536 kn</w:t>
            </w:r>
          </w:p>
        </w:tc>
        <w:tc>
          <w:tcPr>
            <w:tcW w:w="869" w:type="dxa"/>
            <w:hideMark/>
          </w:tcPr>
          <w:p w14:paraId="52CE942F"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7.760.536 kn</w:t>
            </w:r>
          </w:p>
        </w:tc>
        <w:tc>
          <w:tcPr>
            <w:tcW w:w="857" w:type="dxa"/>
            <w:hideMark/>
          </w:tcPr>
          <w:p w14:paraId="5A17A3AB"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A822089 izvor 581 Mehanizam za oporavak i otpornost</w:t>
            </w:r>
          </w:p>
        </w:tc>
      </w:tr>
      <w:tr w:rsidR="00A35106" w:rsidRPr="006C449F" w14:paraId="3E05CC5E" w14:textId="77777777" w:rsidTr="00A35106">
        <w:trPr>
          <w:trHeight w:val="1840"/>
        </w:trPr>
        <w:tc>
          <w:tcPr>
            <w:tcW w:w="827" w:type="dxa"/>
            <w:hideMark/>
          </w:tcPr>
          <w:p w14:paraId="7B71FA40" w14:textId="77777777" w:rsidR="0061686D" w:rsidRPr="0061686D" w:rsidRDefault="0061686D" w:rsidP="006C449F">
            <w:pPr>
              <w:rPr>
                <w:rFonts w:ascii="Times New Roman" w:hAnsi="Times New Roman" w:cs="Times New Roman"/>
                <w:b/>
                <w:bCs/>
                <w:sz w:val="20"/>
                <w:szCs w:val="20"/>
              </w:rPr>
            </w:pPr>
            <w:r w:rsidRPr="0061686D">
              <w:rPr>
                <w:rFonts w:ascii="Times New Roman" w:hAnsi="Times New Roman" w:cs="Times New Roman"/>
                <w:b/>
                <w:bCs/>
                <w:sz w:val="20"/>
                <w:szCs w:val="20"/>
              </w:rPr>
              <w:lastRenderedPageBreak/>
              <w:t>Jačanje provedbe ex ante procjene učinka propisa (PUP)</w:t>
            </w:r>
          </w:p>
        </w:tc>
        <w:tc>
          <w:tcPr>
            <w:tcW w:w="1008" w:type="dxa"/>
            <w:hideMark/>
          </w:tcPr>
          <w:p w14:paraId="5E9A69FA" w14:textId="1159C35B"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„Jačanje kapaciteta za provedbu procjene učinaka propisa“ projekt je kojeg provode Ured za zakonodavstvo te Hrvatska regulatorna agencija za mrežne djelatnosti (HAKOM). Cilj projekta, u dijelu Ureda za </w:t>
            </w:r>
            <w:r w:rsidR="00A35106">
              <w:rPr>
                <w:rFonts w:ascii="Times New Roman" w:hAnsi="Times New Roman" w:cs="Times New Roman"/>
                <w:bCs/>
                <w:sz w:val="20"/>
                <w:szCs w:val="20"/>
              </w:rPr>
              <w:t>z</w:t>
            </w:r>
            <w:r w:rsidRPr="006C449F">
              <w:rPr>
                <w:rFonts w:ascii="Times New Roman" w:hAnsi="Times New Roman" w:cs="Times New Roman"/>
                <w:bCs/>
                <w:sz w:val="20"/>
                <w:szCs w:val="20"/>
              </w:rPr>
              <w:t xml:space="preserve">akonodavstvo, razvoj je zakonodavstva i metodologije za provedbu naknadne (ex-post) procjene učinaka propisa te jačanje kapaciteta tijela državne uprave za njenu praktičnu primjenu. Završetak projekta planiran je za 2. kvartal 2023. godine. Rezultati projekta bit će temelj za izmjene i dopune Zakona o procjeni učinaka propisa, čije je donošenje planirano za 4. </w:t>
            </w:r>
            <w:r w:rsidRPr="006C449F">
              <w:rPr>
                <w:rFonts w:ascii="Times New Roman" w:hAnsi="Times New Roman" w:cs="Times New Roman"/>
                <w:bCs/>
                <w:sz w:val="20"/>
                <w:szCs w:val="20"/>
              </w:rPr>
              <w:lastRenderedPageBreak/>
              <w:t>kvartal 2023. godine, što je ujedno i indikator u Nacionalnom programu oporavka i otpornosti za razdoblje od 2021. do 2026. godine. U okviru ovih izmjena i dopuna Zakona o procjeni učinaka propisa, razmotrit će se i dopuniti propisani poslovi koordinatora procjene učinaka propisa, što će doprinijeti unapređenju kompetencijskog okvira za državne službenike.</w:t>
            </w:r>
          </w:p>
        </w:tc>
        <w:tc>
          <w:tcPr>
            <w:tcW w:w="603" w:type="dxa"/>
            <w:hideMark/>
          </w:tcPr>
          <w:p w14:paraId="64E0780E"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lastRenderedPageBreak/>
              <w:t>4Q/2023.</w:t>
            </w:r>
          </w:p>
        </w:tc>
        <w:tc>
          <w:tcPr>
            <w:tcW w:w="985" w:type="dxa"/>
            <w:hideMark/>
          </w:tcPr>
          <w:p w14:paraId="126AA1EE" w14:textId="09CF6231"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1. Stupanje na snagu izmjena i dopuna Zakona o procjeni učinaka propisa.</w:t>
            </w:r>
            <w:r w:rsidRPr="006C449F">
              <w:rPr>
                <w:rFonts w:ascii="Times New Roman" w:hAnsi="Times New Roman" w:cs="Times New Roman"/>
                <w:bCs/>
                <w:sz w:val="20"/>
                <w:szCs w:val="20"/>
              </w:rPr>
              <w:br/>
              <w:t>2. Ažuriran popis poslova koordinatora procjene učinaka propisa</w:t>
            </w:r>
            <w:r w:rsidRPr="006C449F">
              <w:rPr>
                <w:rFonts w:ascii="Times New Roman" w:hAnsi="Times New Roman" w:cs="Times New Roman"/>
                <w:bCs/>
                <w:sz w:val="20"/>
                <w:szCs w:val="20"/>
              </w:rPr>
              <w:br/>
              <w:t>3. Ojačan kapacitet državnih službenika tijela državne uprave za provedbu postupka naknadne procjene učinaka propisa</w:t>
            </w:r>
            <w:r w:rsidRPr="006C449F">
              <w:rPr>
                <w:rFonts w:ascii="Times New Roman" w:hAnsi="Times New Roman" w:cs="Times New Roman"/>
                <w:bCs/>
                <w:sz w:val="20"/>
                <w:szCs w:val="20"/>
              </w:rPr>
              <w:br/>
              <w:t>Provedbom navedenih mjera u okviru projekta ojačat će se analitički kapacite</w:t>
            </w:r>
            <w:r w:rsidR="006C449F">
              <w:rPr>
                <w:rFonts w:ascii="Times New Roman" w:hAnsi="Times New Roman" w:cs="Times New Roman"/>
                <w:bCs/>
                <w:sz w:val="20"/>
                <w:szCs w:val="20"/>
              </w:rPr>
              <w:t>t</w:t>
            </w:r>
            <w:r w:rsidRPr="006C449F">
              <w:rPr>
                <w:rFonts w:ascii="Times New Roman" w:hAnsi="Times New Roman" w:cs="Times New Roman"/>
                <w:bCs/>
                <w:sz w:val="20"/>
                <w:szCs w:val="20"/>
              </w:rPr>
              <w:t xml:space="preserve"> državnih službenika u području procjene učinaka propisa. Pripremljeni trening materijali bit će temelj za kontinuiranu izobrazbu državnih službenika nakon završetka projekta. </w:t>
            </w:r>
          </w:p>
        </w:tc>
        <w:tc>
          <w:tcPr>
            <w:tcW w:w="913" w:type="dxa"/>
            <w:hideMark/>
          </w:tcPr>
          <w:p w14:paraId="1FD2F012"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UZZ</w:t>
            </w:r>
          </w:p>
        </w:tc>
        <w:tc>
          <w:tcPr>
            <w:tcW w:w="869" w:type="dxa"/>
            <w:hideMark/>
          </w:tcPr>
          <w:p w14:paraId="7A509663"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798" w:type="dxa"/>
            <w:hideMark/>
          </w:tcPr>
          <w:p w14:paraId="00A6487C"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798" w:type="dxa"/>
            <w:hideMark/>
          </w:tcPr>
          <w:p w14:paraId="06375B8C"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69" w:type="dxa"/>
            <w:hideMark/>
          </w:tcPr>
          <w:p w14:paraId="14BFBA91"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69" w:type="dxa"/>
            <w:noWrap/>
            <w:hideMark/>
          </w:tcPr>
          <w:p w14:paraId="1A650E33"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57" w:type="dxa"/>
            <w:hideMark/>
          </w:tcPr>
          <w:p w14:paraId="31DE739B" w14:textId="77777777" w:rsidR="0061686D" w:rsidRPr="006C449F" w:rsidRDefault="0061686D" w:rsidP="006C449F">
            <w:pPr>
              <w:rPr>
                <w:rFonts w:ascii="Times New Roman" w:hAnsi="Times New Roman" w:cs="Times New Roman"/>
                <w:bCs/>
                <w:sz w:val="20"/>
                <w:szCs w:val="20"/>
              </w:rPr>
            </w:pPr>
            <w:r w:rsidRPr="006C449F">
              <w:rPr>
                <w:rFonts w:ascii="Times New Roman" w:hAnsi="Times New Roman" w:cs="Times New Roman"/>
                <w:bCs/>
                <w:sz w:val="20"/>
                <w:szCs w:val="20"/>
              </w:rPr>
              <w:t>UZZ A514000    Tehnička potpora Glavne uprave Europske komisije za potporu strukturnim reformama iz Instrumenta tehničke podrške. Sufinanciran sredstvima njemačkog Saveznog ministarstva gospodarstva i energije.</w:t>
            </w:r>
          </w:p>
        </w:tc>
      </w:tr>
      <w:tr w:rsidR="0061686D" w:rsidRPr="0061686D" w14:paraId="7A4FAF70" w14:textId="77777777" w:rsidTr="0061686D">
        <w:trPr>
          <w:trHeight w:val="840"/>
        </w:trPr>
        <w:tc>
          <w:tcPr>
            <w:tcW w:w="827" w:type="dxa"/>
            <w:hideMark/>
          </w:tcPr>
          <w:p w14:paraId="7F7E1400" w14:textId="77777777" w:rsidR="0061686D" w:rsidRPr="0061686D" w:rsidRDefault="0061686D" w:rsidP="0061686D">
            <w:pPr>
              <w:ind w:firstLine="708"/>
              <w:rPr>
                <w:rFonts w:ascii="Times New Roman" w:hAnsi="Times New Roman" w:cs="Times New Roman"/>
                <w:b/>
                <w:bCs/>
                <w:sz w:val="20"/>
                <w:szCs w:val="20"/>
              </w:rPr>
            </w:pPr>
            <w:r w:rsidRPr="0061686D">
              <w:rPr>
                <w:rFonts w:ascii="Times New Roman" w:hAnsi="Times New Roman" w:cs="Times New Roman"/>
                <w:b/>
                <w:bCs/>
                <w:sz w:val="20"/>
                <w:szCs w:val="20"/>
              </w:rPr>
              <w:t> </w:t>
            </w:r>
          </w:p>
        </w:tc>
        <w:tc>
          <w:tcPr>
            <w:tcW w:w="1008" w:type="dxa"/>
            <w:hideMark/>
          </w:tcPr>
          <w:p w14:paraId="22D24CBF" w14:textId="77777777" w:rsidR="0061686D" w:rsidRPr="0061686D" w:rsidRDefault="0061686D" w:rsidP="0061686D">
            <w:pPr>
              <w:ind w:firstLine="708"/>
              <w:rPr>
                <w:rFonts w:ascii="Times New Roman" w:hAnsi="Times New Roman" w:cs="Times New Roman"/>
                <w:b/>
                <w:bCs/>
                <w:sz w:val="20"/>
                <w:szCs w:val="20"/>
              </w:rPr>
            </w:pPr>
            <w:r w:rsidRPr="0061686D">
              <w:rPr>
                <w:rFonts w:ascii="Times New Roman" w:hAnsi="Times New Roman" w:cs="Times New Roman"/>
                <w:b/>
                <w:bCs/>
                <w:sz w:val="20"/>
                <w:szCs w:val="20"/>
              </w:rPr>
              <w:t> </w:t>
            </w:r>
          </w:p>
        </w:tc>
        <w:tc>
          <w:tcPr>
            <w:tcW w:w="603" w:type="dxa"/>
            <w:noWrap/>
            <w:hideMark/>
          </w:tcPr>
          <w:p w14:paraId="78D701E4" w14:textId="77777777" w:rsidR="0061686D" w:rsidRPr="0061686D" w:rsidRDefault="0061686D" w:rsidP="0061686D">
            <w:pPr>
              <w:ind w:firstLine="708"/>
              <w:rPr>
                <w:rFonts w:ascii="Times New Roman" w:hAnsi="Times New Roman" w:cs="Times New Roman"/>
                <w:b/>
                <w:bCs/>
                <w:sz w:val="20"/>
                <w:szCs w:val="20"/>
              </w:rPr>
            </w:pPr>
            <w:r w:rsidRPr="0061686D">
              <w:rPr>
                <w:rFonts w:ascii="Times New Roman" w:hAnsi="Times New Roman" w:cs="Times New Roman"/>
                <w:b/>
                <w:bCs/>
                <w:sz w:val="20"/>
                <w:szCs w:val="20"/>
              </w:rPr>
              <w:t> </w:t>
            </w:r>
          </w:p>
        </w:tc>
        <w:tc>
          <w:tcPr>
            <w:tcW w:w="985" w:type="dxa"/>
            <w:hideMark/>
          </w:tcPr>
          <w:p w14:paraId="6B70851B" w14:textId="77777777" w:rsidR="0061686D" w:rsidRPr="0061686D" w:rsidRDefault="0061686D" w:rsidP="000A28B6">
            <w:pPr>
              <w:jc w:val="center"/>
              <w:rPr>
                <w:rFonts w:ascii="Times New Roman" w:hAnsi="Times New Roman" w:cs="Times New Roman"/>
                <w:b/>
                <w:bCs/>
                <w:sz w:val="20"/>
                <w:szCs w:val="20"/>
              </w:rPr>
            </w:pPr>
            <w:r w:rsidRPr="0061686D">
              <w:rPr>
                <w:rFonts w:ascii="Times New Roman" w:hAnsi="Times New Roman" w:cs="Times New Roman"/>
                <w:b/>
                <w:bCs/>
                <w:sz w:val="20"/>
                <w:szCs w:val="20"/>
              </w:rPr>
              <w:t>UKUPNO, trošak provedbe,  po godinama</w:t>
            </w:r>
          </w:p>
        </w:tc>
        <w:tc>
          <w:tcPr>
            <w:tcW w:w="913" w:type="dxa"/>
            <w:noWrap/>
            <w:hideMark/>
          </w:tcPr>
          <w:p w14:paraId="56AF519F" w14:textId="77777777" w:rsidR="0061686D" w:rsidRPr="0061686D" w:rsidRDefault="0061686D" w:rsidP="0061686D">
            <w:pPr>
              <w:ind w:firstLine="708"/>
              <w:rPr>
                <w:rFonts w:ascii="Times New Roman" w:hAnsi="Times New Roman" w:cs="Times New Roman"/>
                <w:b/>
                <w:bCs/>
                <w:sz w:val="20"/>
                <w:szCs w:val="20"/>
              </w:rPr>
            </w:pPr>
            <w:bookmarkStart w:id="1" w:name="_GoBack"/>
            <w:bookmarkEnd w:id="1"/>
            <w:r w:rsidRPr="0061686D">
              <w:rPr>
                <w:rFonts w:ascii="Times New Roman" w:hAnsi="Times New Roman" w:cs="Times New Roman"/>
                <w:b/>
                <w:bCs/>
                <w:sz w:val="20"/>
                <w:szCs w:val="20"/>
              </w:rPr>
              <w:t> </w:t>
            </w:r>
          </w:p>
        </w:tc>
        <w:tc>
          <w:tcPr>
            <w:tcW w:w="869" w:type="dxa"/>
            <w:noWrap/>
            <w:hideMark/>
          </w:tcPr>
          <w:p w14:paraId="1EDB217F" w14:textId="77777777" w:rsidR="0061686D" w:rsidRPr="0061686D" w:rsidRDefault="0061686D" w:rsidP="00A35106">
            <w:pPr>
              <w:rPr>
                <w:rFonts w:ascii="Times New Roman" w:hAnsi="Times New Roman" w:cs="Times New Roman"/>
                <w:b/>
                <w:bCs/>
                <w:sz w:val="20"/>
                <w:szCs w:val="20"/>
              </w:rPr>
            </w:pPr>
            <w:r w:rsidRPr="0061686D">
              <w:rPr>
                <w:rFonts w:ascii="Times New Roman" w:hAnsi="Times New Roman" w:cs="Times New Roman"/>
                <w:b/>
                <w:bCs/>
                <w:sz w:val="20"/>
                <w:szCs w:val="20"/>
              </w:rPr>
              <w:t>12.464.147 kn</w:t>
            </w:r>
          </w:p>
        </w:tc>
        <w:tc>
          <w:tcPr>
            <w:tcW w:w="798" w:type="dxa"/>
            <w:noWrap/>
            <w:hideMark/>
          </w:tcPr>
          <w:p w14:paraId="57A0CBB8" w14:textId="77777777" w:rsidR="0061686D" w:rsidRPr="0061686D" w:rsidRDefault="0061686D" w:rsidP="00A35106">
            <w:pPr>
              <w:rPr>
                <w:rFonts w:ascii="Times New Roman" w:hAnsi="Times New Roman" w:cs="Times New Roman"/>
                <w:b/>
                <w:bCs/>
                <w:sz w:val="20"/>
                <w:szCs w:val="20"/>
              </w:rPr>
            </w:pPr>
            <w:r w:rsidRPr="0061686D">
              <w:rPr>
                <w:rFonts w:ascii="Times New Roman" w:hAnsi="Times New Roman" w:cs="Times New Roman"/>
                <w:b/>
                <w:bCs/>
                <w:sz w:val="20"/>
                <w:szCs w:val="20"/>
              </w:rPr>
              <w:t>7.198.793 kn</w:t>
            </w:r>
          </w:p>
        </w:tc>
        <w:tc>
          <w:tcPr>
            <w:tcW w:w="798" w:type="dxa"/>
            <w:noWrap/>
            <w:hideMark/>
          </w:tcPr>
          <w:p w14:paraId="4EB42FBA" w14:textId="77777777" w:rsidR="0061686D" w:rsidRPr="0061686D" w:rsidRDefault="0061686D" w:rsidP="00A35106">
            <w:pPr>
              <w:rPr>
                <w:rFonts w:ascii="Times New Roman" w:hAnsi="Times New Roman" w:cs="Times New Roman"/>
                <w:b/>
                <w:bCs/>
                <w:sz w:val="20"/>
                <w:szCs w:val="20"/>
              </w:rPr>
            </w:pPr>
            <w:r w:rsidRPr="0061686D">
              <w:rPr>
                <w:rFonts w:ascii="Times New Roman" w:hAnsi="Times New Roman" w:cs="Times New Roman"/>
                <w:b/>
                <w:bCs/>
                <w:sz w:val="20"/>
                <w:szCs w:val="20"/>
              </w:rPr>
              <w:t>4.488.380 kn</w:t>
            </w:r>
          </w:p>
        </w:tc>
        <w:tc>
          <w:tcPr>
            <w:tcW w:w="869" w:type="dxa"/>
            <w:noWrap/>
            <w:hideMark/>
          </w:tcPr>
          <w:p w14:paraId="7197E342" w14:textId="77777777" w:rsidR="0061686D" w:rsidRPr="0061686D" w:rsidRDefault="0061686D" w:rsidP="00A35106">
            <w:pPr>
              <w:rPr>
                <w:rFonts w:ascii="Times New Roman" w:hAnsi="Times New Roman" w:cs="Times New Roman"/>
                <w:b/>
                <w:bCs/>
                <w:sz w:val="20"/>
                <w:szCs w:val="20"/>
              </w:rPr>
            </w:pPr>
            <w:r w:rsidRPr="0061686D">
              <w:rPr>
                <w:rFonts w:ascii="Times New Roman" w:hAnsi="Times New Roman" w:cs="Times New Roman"/>
                <w:b/>
                <w:bCs/>
                <w:sz w:val="20"/>
                <w:szCs w:val="20"/>
              </w:rPr>
              <w:t>24.151.320 kn</w:t>
            </w:r>
          </w:p>
        </w:tc>
        <w:tc>
          <w:tcPr>
            <w:tcW w:w="869" w:type="dxa"/>
            <w:noWrap/>
            <w:hideMark/>
          </w:tcPr>
          <w:p w14:paraId="6AF6625F" w14:textId="77777777" w:rsidR="0061686D" w:rsidRPr="0061686D" w:rsidRDefault="0061686D" w:rsidP="00A35106">
            <w:pPr>
              <w:rPr>
                <w:rFonts w:ascii="Times New Roman" w:hAnsi="Times New Roman" w:cs="Times New Roman"/>
                <w:b/>
                <w:bCs/>
                <w:sz w:val="20"/>
                <w:szCs w:val="20"/>
              </w:rPr>
            </w:pPr>
            <w:r w:rsidRPr="0061686D">
              <w:rPr>
                <w:rFonts w:ascii="Times New Roman" w:hAnsi="Times New Roman" w:cs="Times New Roman"/>
                <w:b/>
                <w:bCs/>
                <w:sz w:val="20"/>
                <w:szCs w:val="20"/>
              </w:rPr>
              <w:t>29.117.846 kn</w:t>
            </w:r>
          </w:p>
        </w:tc>
        <w:tc>
          <w:tcPr>
            <w:tcW w:w="857" w:type="dxa"/>
            <w:noWrap/>
            <w:hideMark/>
          </w:tcPr>
          <w:p w14:paraId="0928B90C" w14:textId="77777777" w:rsidR="0061686D" w:rsidRPr="0061686D" w:rsidRDefault="0061686D" w:rsidP="0061686D">
            <w:pPr>
              <w:ind w:firstLine="708"/>
              <w:rPr>
                <w:rFonts w:ascii="Times New Roman" w:hAnsi="Times New Roman" w:cs="Times New Roman"/>
                <w:b/>
                <w:bCs/>
                <w:sz w:val="20"/>
                <w:szCs w:val="20"/>
              </w:rPr>
            </w:pPr>
            <w:r w:rsidRPr="0061686D">
              <w:rPr>
                <w:rFonts w:ascii="Times New Roman" w:hAnsi="Times New Roman" w:cs="Times New Roman"/>
                <w:b/>
                <w:bCs/>
                <w:sz w:val="20"/>
                <w:szCs w:val="20"/>
              </w:rPr>
              <w:t> </w:t>
            </w:r>
          </w:p>
        </w:tc>
      </w:tr>
    </w:tbl>
    <w:p w14:paraId="6BB044B6" w14:textId="4ABA8728" w:rsidR="00BE7C81" w:rsidRDefault="00BE7C81" w:rsidP="007D4156">
      <w:pPr>
        <w:ind w:firstLine="708"/>
        <w:rPr>
          <w:rFonts w:ascii="Times New Roman" w:hAnsi="Times New Roman" w:cs="Times New Roman"/>
          <w:sz w:val="20"/>
          <w:szCs w:val="20"/>
        </w:rPr>
      </w:pPr>
    </w:p>
    <w:p w14:paraId="70DFF533" w14:textId="0886B88F" w:rsidR="00DD1803" w:rsidRDefault="00DD1803" w:rsidP="007D4156">
      <w:pPr>
        <w:ind w:firstLine="708"/>
        <w:rPr>
          <w:rFonts w:ascii="Times New Roman" w:hAnsi="Times New Roman" w:cs="Times New Roman"/>
          <w:sz w:val="20"/>
          <w:szCs w:val="20"/>
        </w:rPr>
      </w:pPr>
      <w:r>
        <w:rPr>
          <w:rFonts w:ascii="Times New Roman" w:hAnsi="Times New Roman" w:cs="Times New Roman"/>
          <w:sz w:val="20"/>
          <w:szCs w:val="20"/>
        </w:rPr>
        <w:br w:type="page"/>
      </w:r>
    </w:p>
    <w:p w14:paraId="33630D82" w14:textId="77777777" w:rsidR="009150DF" w:rsidRDefault="009150DF" w:rsidP="007D4156">
      <w:pPr>
        <w:ind w:firstLine="708"/>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1571"/>
        <w:gridCol w:w="1505"/>
        <w:gridCol w:w="1016"/>
        <w:gridCol w:w="1472"/>
        <w:gridCol w:w="1161"/>
        <w:gridCol w:w="1261"/>
        <w:gridCol w:w="1261"/>
        <w:gridCol w:w="1261"/>
        <w:gridCol w:w="1366"/>
        <w:gridCol w:w="1366"/>
        <w:gridCol w:w="1405"/>
      </w:tblGrid>
      <w:tr w:rsidR="0012628A" w:rsidRPr="0012628A" w14:paraId="572C98BE" w14:textId="77777777" w:rsidTr="0012628A">
        <w:trPr>
          <w:trHeight w:val="540"/>
        </w:trPr>
        <w:tc>
          <w:tcPr>
            <w:tcW w:w="9396" w:type="dxa"/>
            <w:gridSpan w:val="11"/>
            <w:shd w:val="clear" w:color="auto" w:fill="FFF2CC" w:themeFill="accent4" w:themeFillTint="33"/>
            <w:hideMark/>
          </w:tcPr>
          <w:p w14:paraId="6AB259D1" w14:textId="687BDBBC" w:rsidR="0012628A" w:rsidRPr="0012628A" w:rsidRDefault="0012628A" w:rsidP="0012628A">
            <w:pPr>
              <w:ind w:firstLine="708"/>
              <w:jc w:val="center"/>
              <w:rPr>
                <w:rFonts w:ascii="Times New Roman" w:hAnsi="Times New Roman" w:cs="Times New Roman"/>
                <w:b/>
                <w:bCs/>
                <w:sz w:val="24"/>
                <w:szCs w:val="24"/>
              </w:rPr>
            </w:pPr>
            <w:r w:rsidRPr="0012628A">
              <w:rPr>
                <w:rFonts w:ascii="Times New Roman" w:hAnsi="Times New Roman" w:cs="Times New Roman"/>
                <w:b/>
                <w:bCs/>
                <w:sz w:val="24"/>
                <w:szCs w:val="24"/>
              </w:rPr>
              <w:t>Popis mjera za provedbu posebnog cilja 5</w:t>
            </w:r>
          </w:p>
        </w:tc>
      </w:tr>
      <w:tr w:rsidR="006C449F" w:rsidRPr="00CF387A" w14:paraId="2402F104" w14:textId="77777777" w:rsidTr="0012628A">
        <w:trPr>
          <w:trHeight w:val="1999"/>
        </w:trPr>
        <w:tc>
          <w:tcPr>
            <w:tcW w:w="939" w:type="dxa"/>
            <w:hideMark/>
          </w:tcPr>
          <w:p w14:paraId="64EC877D"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Naziv mjere</w:t>
            </w:r>
          </w:p>
        </w:tc>
        <w:tc>
          <w:tcPr>
            <w:tcW w:w="895" w:type="dxa"/>
            <w:hideMark/>
          </w:tcPr>
          <w:p w14:paraId="6116B7C6"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Svrha provedbe mjere</w:t>
            </w:r>
          </w:p>
        </w:tc>
        <w:tc>
          <w:tcPr>
            <w:tcW w:w="567" w:type="dxa"/>
            <w:hideMark/>
          </w:tcPr>
          <w:p w14:paraId="3F952050"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 xml:space="preserve">Rok provedbe  mjere </w:t>
            </w:r>
            <w:r w:rsidRPr="0012628A">
              <w:rPr>
                <w:rFonts w:ascii="Times New Roman" w:hAnsi="Times New Roman" w:cs="Times New Roman"/>
                <w:b/>
                <w:bCs/>
                <w:sz w:val="20"/>
                <w:szCs w:val="20"/>
              </w:rPr>
              <w:br/>
              <w:t>(kvartal, godina)</w:t>
            </w:r>
          </w:p>
        </w:tc>
        <w:tc>
          <w:tcPr>
            <w:tcW w:w="874" w:type="dxa"/>
            <w:hideMark/>
          </w:tcPr>
          <w:p w14:paraId="570580CA"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Pokazatelj rezultata mjere</w:t>
            </w:r>
          </w:p>
        </w:tc>
        <w:tc>
          <w:tcPr>
            <w:tcW w:w="665" w:type="dxa"/>
            <w:hideMark/>
          </w:tcPr>
          <w:p w14:paraId="092ABC86"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 xml:space="preserve">Nadležnost za provedbu </w:t>
            </w:r>
          </w:p>
        </w:tc>
        <w:tc>
          <w:tcPr>
            <w:tcW w:w="885" w:type="dxa"/>
            <w:hideMark/>
          </w:tcPr>
          <w:p w14:paraId="478F0CD0"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Procijenjeni trošak</w:t>
            </w:r>
            <w:r w:rsidRPr="0012628A">
              <w:rPr>
                <w:rFonts w:ascii="Times New Roman" w:hAnsi="Times New Roman" w:cs="Times New Roman"/>
                <w:b/>
                <w:bCs/>
                <w:sz w:val="20"/>
                <w:szCs w:val="20"/>
              </w:rPr>
              <w:br/>
              <w:t>provedbe mjere u 2022. godini</w:t>
            </w:r>
          </w:p>
        </w:tc>
        <w:tc>
          <w:tcPr>
            <w:tcW w:w="885" w:type="dxa"/>
            <w:hideMark/>
          </w:tcPr>
          <w:p w14:paraId="55EB60E0"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Procijenjeni trošak</w:t>
            </w:r>
            <w:r w:rsidRPr="0012628A">
              <w:rPr>
                <w:rFonts w:ascii="Times New Roman" w:hAnsi="Times New Roman" w:cs="Times New Roman"/>
                <w:b/>
                <w:bCs/>
                <w:sz w:val="20"/>
                <w:szCs w:val="20"/>
              </w:rPr>
              <w:br/>
              <w:t>provedbe mjere  u 2023. godini</w:t>
            </w:r>
          </w:p>
        </w:tc>
        <w:tc>
          <w:tcPr>
            <w:tcW w:w="885" w:type="dxa"/>
            <w:hideMark/>
          </w:tcPr>
          <w:p w14:paraId="41F05EFF"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Procijenjeni trošak</w:t>
            </w:r>
            <w:r w:rsidRPr="0012628A">
              <w:rPr>
                <w:rFonts w:ascii="Times New Roman" w:hAnsi="Times New Roman" w:cs="Times New Roman"/>
                <w:b/>
                <w:bCs/>
                <w:sz w:val="20"/>
                <w:szCs w:val="20"/>
              </w:rPr>
              <w:br/>
              <w:t>provedbe mjere  u 2024. godine</w:t>
            </w:r>
          </w:p>
        </w:tc>
        <w:tc>
          <w:tcPr>
            <w:tcW w:w="986" w:type="dxa"/>
            <w:hideMark/>
          </w:tcPr>
          <w:p w14:paraId="3D792C83" w14:textId="77777777" w:rsidR="0012628A" w:rsidRPr="00CF387A" w:rsidRDefault="0012628A" w:rsidP="00CF387A">
            <w:pPr>
              <w:rPr>
                <w:rFonts w:ascii="Times New Roman" w:hAnsi="Times New Roman" w:cs="Times New Roman"/>
                <w:b/>
                <w:bCs/>
                <w:sz w:val="20"/>
                <w:szCs w:val="20"/>
              </w:rPr>
            </w:pPr>
            <w:r w:rsidRPr="00CF387A">
              <w:rPr>
                <w:rFonts w:ascii="Times New Roman" w:hAnsi="Times New Roman" w:cs="Times New Roman"/>
                <w:b/>
                <w:bCs/>
                <w:sz w:val="20"/>
                <w:szCs w:val="20"/>
              </w:rPr>
              <w:t xml:space="preserve">UKUPNO </w:t>
            </w:r>
            <w:r w:rsidRPr="00CF387A">
              <w:rPr>
                <w:rFonts w:ascii="Times New Roman" w:hAnsi="Times New Roman" w:cs="Times New Roman"/>
                <w:b/>
                <w:bCs/>
                <w:sz w:val="20"/>
                <w:szCs w:val="20"/>
              </w:rPr>
              <w:br/>
              <w:t>trošak provedbe u razdoblju provedbe Akcijskog plana 2022.-2024. godine</w:t>
            </w:r>
          </w:p>
        </w:tc>
        <w:tc>
          <w:tcPr>
            <w:tcW w:w="986" w:type="dxa"/>
            <w:hideMark/>
          </w:tcPr>
          <w:p w14:paraId="6CAD6931"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Ukupan procijenjeni trošak</w:t>
            </w:r>
            <w:r w:rsidRPr="0012628A">
              <w:rPr>
                <w:rFonts w:ascii="Times New Roman" w:hAnsi="Times New Roman" w:cs="Times New Roman"/>
                <w:b/>
                <w:bCs/>
                <w:sz w:val="20"/>
                <w:szCs w:val="20"/>
              </w:rPr>
              <w:br/>
              <w:t>provedbe mjere u razdoblju trajanja Nacionalnog plana (2022.- 2027. godine)</w:t>
            </w:r>
          </w:p>
        </w:tc>
        <w:tc>
          <w:tcPr>
            <w:tcW w:w="829" w:type="dxa"/>
            <w:hideMark/>
          </w:tcPr>
          <w:p w14:paraId="53A96134" w14:textId="77777777" w:rsidR="0012628A" w:rsidRPr="0012628A" w:rsidRDefault="0012628A" w:rsidP="00CF387A">
            <w:pPr>
              <w:rPr>
                <w:rFonts w:ascii="Times New Roman" w:hAnsi="Times New Roman" w:cs="Times New Roman"/>
                <w:b/>
                <w:bCs/>
                <w:sz w:val="20"/>
                <w:szCs w:val="20"/>
              </w:rPr>
            </w:pPr>
            <w:r w:rsidRPr="0012628A">
              <w:rPr>
                <w:rFonts w:ascii="Times New Roman" w:hAnsi="Times New Roman" w:cs="Times New Roman"/>
                <w:b/>
                <w:bCs/>
                <w:sz w:val="20"/>
                <w:szCs w:val="20"/>
              </w:rPr>
              <w:t>Planirani izvor financiranja  u Državnom proračunu (proračunska aktivnost je navedena ukoliko je izvor financiranja DPRH)</w:t>
            </w:r>
          </w:p>
        </w:tc>
      </w:tr>
      <w:tr w:rsidR="006C449F" w:rsidRPr="006C449F" w14:paraId="47060766" w14:textId="77777777" w:rsidTr="0012628A">
        <w:trPr>
          <w:trHeight w:val="2082"/>
        </w:trPr>
        <w:tc>
          <w:tcPr>
            <w:tcW w:w="939" w:type="dxa"/>
            <w:hideMark/>
          </w:tcPr>
          <w:p w14:paraId="1FE4FA3A"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 xml:space="preserve">Optimizacija sustava lokalne i područne (regionalne) samouprave </w:t>
            </w:r>
          </w:p>
        </w:tc>
        <w:tc>
          <w:tcPr>
            <w:tcW w:w="895" w:type="dxa"/>
            <w:hideMark/>
          </w:tcPr>
          <w:p w14:paraId="2E603965"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Unaprjeđenje učinkovitosti sustava javne uprave kroz optimizaciju sustava lokalne </w:t>
            </w:r>
            <w:r w:rsidRPr="006C449F">
              <w:rPr>
                <w:rFonts w:ascii="Times New Roman" w:hAnsi="Times New Roman" w:cs="Times New Roman"/>
                <w:bCs/>
                <w:sz w:val="20"/>
                <w:szCs w:val="20"/>
              </w:rPr>
              <w:br/>
              <w:t>i područne (regionalne) samouprave.</w:t>
            </w:r>
          </w:p>
        </w:tc>
        <w:tc>
          <w:tcPr>
            <w:tcW w:w="567" w:type="dxa"/>
            <w:hideMark/>
          </w:tcPr>
          <w:p w14:paraId="3C86A59E"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2Q/2023.</w:t>
            </w:r>
          </w:p>
        </w:tc>
        <w:tc>
          <w:tcPr>
            <w:tcW w:w="874" w:type="dxa"/>
            <w:hideMark/>
          </w:tcPr>
          <w:p w14:paraId="148C74A5"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Optimiziran sustav lokalne i područne (regionalne) samouprave</w:t>
            </w:r>
            <w:r w:rsidRPr="006C449F">
              <w:rPr>
                <w:rFonts w:ascii="Times New Roman" w:hAnsi="Times New Roman" w:cs="Times New Roman"/>
                <w:bCs/>
                <w:sz w:val="20"/>
                <w:szCs w:val="20"/>
              </w:rPr>
              <w:br/>
              <w:t>Uspostavljena središnja baza podatak o kapacitetima jedinica</w:t>
            </w:r>
          </w:p>
        </w:tc>
        <w:tc>
          <w:tcPr>
            <w:tcW w:w="665" w:type="dxa"/>
            <w:hideMark/>
          </w:tcPr>
          <w:p w14:paraId="6B63940A"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MPU</w:t>
            </w:r>
          </w:p>
        </w:tc>
        <w:tc>
          <w:tcPr>
            <w:tcW w:w="885" w:type="dxa"/>
            <w:hideMark/>
          </w:tcPr>
          <w:p w14:paraId="66332304"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5.945.460 kn</w:t>
            </w:r>
          </w:p>
        </w:tc>
        <w:tc>
          <w:tcPr>
            <w:tcW w:w="885" w:type="dxa"/>
            <w:hideMark/>
          </w:tcPr>
          <w:p w14:paraId="52D33322"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172.375 kn</w:t>
            </w:r>
          </w:p>
        </w:tc>
        <w:tc>
          <w:tcPr>
            <w:tcW w:w="885" w:type="dxa"/>
            <w:hideMark/>
          </w:tcPr>
          <w:p w14:paraId="0B5D81A9"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986" w:type="dxa"/>
            <w:hideMark/>
          </w:tcPr>
          <w:p w14:paraId="1D43EFDC"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6.117.835 kn</w:t>
            </w:r>
          </w:p>
        </w:tc>
        <w:tc>
          <w:tcPr>
            <w:tcW w:w="986" w:type="dxa"/>
            <w:hideMark/>
          </w:tcPr>
          <w:p w14:paraId="52559EFE"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6.117.835 kn</w:t>
            </w:r>
          </w:p>
        </w:tc>
        <w:tc>
          <w:tcPr>
            <w:tcW w:w="829" w:type="dxa"/>
            <w:hideMark/>
          </w:tcPr>
          <w:p w14:paraId="39C14878"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K544087.008 Optimizacija sustava lokalne i područne (regionalne) samouprave 561 Europski socijalni fond (ESF) 85% i 12 Sredstva učešća za pomoći 15%</w:t>
            </w:r>
          </w:p>
        </w:tc>
      </w:tr>
      <w:tr w:rsidR="006C449F" w:rsidRPr="006C449F" w14:paraId="3009BF91" w14:textId="77777777" w:rsidTr="0012628A">
        <w:trPr>
          <w:trHeight w:val="1699"/>
        </w:trPr>
        <w:tc>
          <w:tcPr>
            <w:tcW w:w="939" w:type="dxa"/>
            <w:hideMark/>
          </w:tcPr>
          <w:p w14:paraId="4D56ABCC"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 xml:space="preserve">Funkcionalna i održiva lokalna samouprava </w:t>
            </w:r>
          </w:p>
        </w:tc>
        <w:tc>
          <w:tcPr>
            <w:tcW w:w="895" w:type="dxa"/>
            <w:hideMark/>
          </w:tcPr>
          <w:p w14:paraId="11097F7D"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Uspostava kvalitetnog i učinkovitog sustava lokalne i područne (regionalne) samouprave kroz funkcionalno povezivanje jedinica radi uspostave učinkovitog, </w:t>
            </w:r>
            <w:r w:rsidRPr="006C449F">
              <w:rPr>
                <w:rFonts w:ascii="Times New Roman" w:hAnsi="Times New Roman" w:cs="Times New Roman"/>
                <w:bCs/>
                <w:sz w:val="20"/>
                <w:szCs w:val="20"/>
              </w:rPr>
              <w:lastRenderedPageBreak/>
              <w:t>kvalitetnog i transparentnog pružanja usluga građanima, kako bi građani imali jednake mogućnosti za zadovoljavanje svojih potreba i interesa, bez obzira gdje žive.</w:t>
            </w:r>
          </w:p>
        </w:tc>
        <w:tc>
          <w:tcPr>
            <w:tcW w:w="567" w:type="dxa"/>
            <w:noWrap/>
            <w:hideMark/>
          </w:tcPr>
          <w:p w14:paraId="346C91BD"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lastRenderedPageBreak/>
              <w:t>2Q/2025.</w:t>
            </w:r>
          </w:p>
        </w:tc>
        <w:tc>
          <w:tcPr>
            <w:tcW w:w="874" w:type="dxa"/>
            <w:hideMark/>
          </w:tcPr>
          <w:p w14:paraId="441FC365"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Aktivacija mehanizma podrške za dobrovoljna funkcionalna i stvarna povezivanja te uspostava cjelovitog sustava podrške funkcionalnom i stvarnom </w:t>
            </w:r>
            <w:r w:rsidRPr="006C449F">
              <w:rPr>
                <w:rFonts w:ascii="Times New Roman" w:hAnsi="Times New Roman" w:cs="Times New Roman"/>
                <w:bCs/>
                <w:sz w:val="20"/>
                <w:szCs w:val="20"/>
              </w:rPr>
              <w:lastRenderedPageBreak/>
              <w:t>povezivanju jedinica</w:t>
            </w:r>
          </w:p>
        </w:tc>
        <w:tc>
          <w:tcPr>
            <w:tcW w:w="665" w:type="dxa"/>
            <w:noWrap/>
            <w:hideMark/>
          </w:tcPr>
          <w:p w14:paraId="1197DB53"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lastRenderedPageBreak/>
              <w:t>MFIN</w:t>
            </w:r>
          </w:p>
        </w:tc>
        <w:tc>
          <w:tcPr>
            <w:tcW w:w="885" w:type="dxa"/>
            <w:noWrap/>
            <w:hideMark/>
          </w:tcPr>
          <w:p w14:paraId="09C5CCA2"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100.000.000 kn</w:t>
            </w:r>
          </w:p>
        </w:tc>
        <w:tc>
          <w:tcPr>
            <w:tcW w:w="885" w:type="dxa"/>
            <w:noWrap/>
            <w:hideMark/>
          </w:tcPr>
          <w:p w14:paraId="04480F4A"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100.000.000 kn</w:t>
            </w:r>
          </w:p>
        </w:tc>
        <w:tc>
          <w:tcPr>
            <w:tcW w:w="885" w:type="dxa"/>
            <w:noWrap/>
            <w:hideMark/>
          </w:tcPr>
          <w:p w14:paraId="5B7F3258"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100.000.000 kn</w:t>
            </w:r>
          </w:p>
        </w:tc>
        <w:tc>
          <w:tcPr>
            <w:tcW w:w="986" w:type="dxa"/>
            <w:hideMark/>
          </w:tcPr>
          <w:p w14:paraId="39BB371B"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300.000.000 kn</w:t>
            </w:r>
          </w:p>
        </w:tc>
        <w:tc>
          <w:tcPr>
            <w:tcW w:w="986" w:type="dxa"/>
            <w:noWrap/>
            <w:hideMark/>
          </w:tcPr>
          <w:p w14:paraId="5E3DD82E"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900.000.000 kn</w:t>
            </w:r>
          </w:p>
        </w:tc>
        <w:tc>
          <w:tcPr>
            <w:tcW w:w="829" w:type="dxa"/>
            <w:hideMark/>
          </w:tcPr>
          <w:p w14:paraId="059B4098"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A767071 MFIN 11 Opći prihodi i primici</w:t>
            </w:r>
          </w:p>
        </w:tc>
      </w:tr>
      <w:tr w:rsidR="006C449F" w:rsidRPr="006C449F" w14:paraId="4744D8C4" w14:textId="77777777" w:rsidTr="00A35106">
        <w:trPr>
          <w:trHeight w:val="1698"/>
        </w:trPr>
        <w:tc>
          <w:tcPr>
            <w:tcW w:w="939" w:type="dxa"/>
            <w:hideMark/>
          </w:tcPr>
          <w:p w14:paraId="0106E7EF"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Daljnja optimizacija i decentralizacija JLP(R)S putem potpore funkcionalnom spajanju - C2.2. R4-I1</w:t>
            </w:r>
          </w:p>
        </w:tc>
        <w:tc>
          <w:tcPr>
            <w:tcW w:w="895" w:type="dxa"/>
            <w:hideMark/>
          </w:tcPr>
          <w:p w14:paraId="00FC6F87"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Uspostavljen kvalitetan sustav za funkcionalno i stvarno povezivanje jedinica radi kvalitetnijeg i transparentnijeg pružanja usluga građanima </w:t>
            </w:r>
          </w:p>
        </w:tc>
        <w:tc>
          <w:tcPr>
            <w:tcW w:w="567" w:type="dxa"/>
            <w:noWrap/>
            <w:hideMark/>
          </w:tcPr>
          <w:p w14:paraId="6F4F4E41"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4Q/2024.</w:t>
            </w:r>
          </w:p>
        </w:tc>
        <w:tc>
          <w:tcPr>
            <w:tcW w:w="874" w:type="dxa"/>
            <w:hideMark/>
          </w:tcPr>
          <w:p w14:paraId="507A1280"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 xml:space="preserve">Analiziran pravni i institucionalni okvir i postojeći institucionalni oblici te utvrđeno stanje obavljanja poslova iz djelokruga JLS te izrađen pregled i analiza rezultata u zemljama članicama EU. Strukturiran upitnik za JLS i terensko ispitivanje stanovništva te identificiranje jedinice za koje bi bilo korisno da se funkcionalno povežu. Razrađen model za funkcionalno </w:t>
            </w:r>
            <w:r w:rsidRPr="006C449F">
              <w:rPr>
                <w:rFonts w:ascii="Times New Roman" w:hAnsi="Times New Roman" w:cs="Times New Roman"/>
                <w:bCs/>
                <w:sz w:val="20"/>
                <w:szCs w:val="20"/>
              </w:rPr>
              <w:lastRenderedPageBreak/>
              <w:t>povezivanje jedinica. Izrađena analiza troškova i koristi te strategija provedbe i upravljanja</w:t>
            </w:r>
          </w:p>
        </w:tc>
        <w:tc>
          <w:tcPr>
            <w:tcW w:w="665" w:type="dxa"/>
            <w:hideMark/>
          </w:tcPr>
          <w:p w14:paraId="7624A5F8"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lastRenderedPageBreak/>
              <w:t>MPU, MFIN u suradnji s JLPRS</w:t>
            </w:r>
          </w:p>
        </w:tc>
        <w:tc>
          <w:tcPr>
            <w:tcW w:w="885" w:type="dxa"/>
            <w:noWrap/>
            <w:hideMark/>
          </w:tcPr>
          <w:p w14:paraId="77000364"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85" w:type="dxa"/>
            <w:noWrap/>
            <w:hideMark/>
          </w:tcPr>
          <w:p w14:paraId="568F0D89"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85" w:type="dxa"/>
            <w:noWrap/>
            <w:hideMark/>
          </w:tcPr>
          <w:p w14:paraId="49072480"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13.490.006 kn</w:t>
            </w:r>
          </w:p>
        </w:tc>
        <w:tc>
          <w:tcPr>
            <w:tcW w:w="986" w:type="dxa"/>
            <w:hideMark/>
          </w:tcPr>
          <w:p w14:paraId="32101346"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13.490.006 kn</w:t>
            </w:r>
          </w:p>
        </w:tc>
        <w:tc>
          <w:tcPr>
            <w:tcW w:w="986" w:type="dxa"/>
            <w:noWrap/>
            <w:hideMark/>
          </w:tcPr>
          <w:p w14:paraId="2DC036ED"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21.612.415 kn</w:t>
            </w:r>
          </w:p>
        </w:tc>
        <w:tc>
          <w:tcPr>
            <w:tcW w:w="829" w:type="dxa"/>
            <w:hideMark/>
          </w:tcPr>
          <w:p w14:paraId="4207FB6A"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T830027.012 581 Mehanizam za oporavak i otpornost</w:t>
            </w:r>
          </w:p>
        </w:tc>
      </w:tr>
      <w:tr w:rsidR="006C449F" w:rsidRPr="006C449F" w14:paraId="6DDD0BBE" w14:textId="77777777" w:rsidTr="0012628A">
        <w:trPr>
          <w:trHeight w:val="3060"/>
        </w:trPr>
        <w:tc>
          <w:tcPr>
            <w:tcW w:w="939" w:type="dxa"/>
            <w:hideMark/>
          </w:tcPr>
          <w:p w14:paraId="373CA714"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Digitalna transformacija i razvoj e-usluga lokalne i područne samouprave</w:t>
            </w:r>
          </w:p>
        </w:tc>
        <w:tc>
          <w:tcPr>
            <w:tcW w:w="895" w:type="dxa"/>
            <w:hideMark/>
          </w:tcPr>
          <w:p w14:paraId="2CE275DF"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Razvoj i nadogradnja te ubrzavanju digitalnih javnih usluga, proizvoda i procesa u kontekstu aktivnosti e-Uprave</w:t>
            </w:r>
          </w:p>
        </w:tc>
        <w:tc>
          <w:tcPr>
            <w:tcW w:w="567" w:type="dxa"/>
            <w:hideMark/>
          </w:tcPr>
          <w:p w14:paraId="06D0AA0E"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1Q/2026.</w:t>
            </w:r>
          </w:p>
        </w:tc>
        <w:tc>
          <w:tcPr>
            <w:tcW w:w="874" w:type="dxa"/>
            <w:hideMark/>
          </w:tcPr>
          <w:p w14:paraId="0E189DDA"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Uspostavljene nove e-usluge ili nadograđene e-usluge lokalne i područne samouprave dostupne građanima</w:t>
            </w:r>
          </w:p>
        </w:tc>
        <w:tc>
          <w:tcPr>
            <w:tcW w:w="665" w:type="dxa"/>
            <w:hideMark/>
          </w:tcPr>
          <w:p w14:paraId="616C619A"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SDURDD i MPU</w:t>
            </w:r>
          </w:p>
        </w:tc>
        <w:tc>
          <w:tcPr>
            <w:tcW w:w="885" w:type="dxa"/>
            <w:hideMark/>
          </w:tcPr>
          <w:p w14:paraId="15E92DA2"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85" w:type="dxa"/>
            <w:hideMark/>
          </w:tcPr>
          <w:p w14:paraId="2D886DC7"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885" w:type="dxa"/>
            <w:hideMark/>
          </w:tcPr>
          <w:p w14:paraId="65E84189"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986" w:type="dxa"/>
            <w:hideMark/>
          </w:tcPr>
          <w:p w14:paraId="1A27013C"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0 kn</w:t>
            </w:r>
          </w:p>
        </w:tc>
        <w:tc>
          <w:tcPr>
            <w:tcW w:w="986" w:type="dxa"/>
            <w:hideMark/>
          </w:tcPr>
          <w:p w14:paraId="656713D1"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35.294.115 kn</w:t>
            </w:r>
          </w:p>
        </w:tc>
        <w:tc>
          <w:tcPr>
            <w:tcW w:w="829" w:type="dxa"/>
            <w:hideMark/>
          </w:tcPr>
          <w:p w14:paraId="3E701B88" w14:textId="77777777" w:rsidR="0012628A" w:rsidRPr="006C449F" w:rsidRDefault="0012628A" w:rsidP="006C449F">
            <w:pPr>
              <w:rPr>
                <w:rFonts w:ascii="Times New Roman" w:hAnsi="Times New Roman" w:cs="Times New Roman"/>
                <w:bCs/>
                <w:sz w:val="20"/>
                <w:szCs w:val="20"/>
              </w:rPr>
            </w:pPr>
            <w:r w:rsidRPr="006C449F">
              <w:rPr>
                <w:rFonts w:ascii="Times New Roman" w:hAnsi="Times New Roman" w:cs="Times New Roman"/>
                <w:bCs/>
                <w:sz w:val="20"/>
                <w:szCs w:val="20"/>
              </w:rPr>
              <w:t>Sredstva će biti planirana unutar Operativnog programa Konkurentnost i kohezija 2021. - 2027. (PKK) -  uvesti novu proračunsku aktivnost iz izvora 563 Europski fond za regionalni razvoj (EFRR) 85% i 12 Sredstva učešća za pomoći 15%</w:t>
            </w:r>
          </w:p>
        </w:tc>
      </w:tr>
      <w:tr w:rsidR="006C449F" w:rsidRPr="0012628A" w14:paraId="3619FC85" w14:textId="77777777" w:rsidTr="0012628A">
        <w:trPr>
          <w:trHeight w:val="840"/>
        </w:trPr>
        <w:tc>
          <w:tcPr>
            <w:tcW w:w="939" w:type="dxa"/>
            <w:hideMark/>
          </w:tcPr>
          <w:p w14:paraId="541861F9" w14:textId="77777777" w:rsidR="0012628A" w:rsidRPr="0012628A" w:rsidRDefault="0012628A" w:rsidP="0012628A">
            <w:pPr>
              <w:ind w:firstLine="708"/>
              <w:rPr>
                <w:rFonts w:ascii="Times New Roman" w:hAnsi="Times New Roman" w:cs="Times New Roman"/>
                <w:b/>
                <w:bCs/>
                <w:sz w:val="20"/>
                <w:szCs w:val="20"/>
              </w:rPr>
            </w:pPr>
            <w:r w:rsidRPr="0012628A">
              <w:rPr>
                <w:rFonts w:ascii="Times New Roman" w:hAnsi="Times New Roman" w:cs="Times New Roman"/>
                <w:b/>
                <w:bCs/>
                <w:sz w:val="20"/>
                <w:szCs w:val="20"/>
              </w:rPr>
              <w:t> </w:t>
            </w:r>
          </w:p>
        </w:tc>
        <w:tc>
          <w:tcPr>
            <w:tcW w:w="895" w:type="dxa"/>
            <w:hideMark/>
          </w:tcPr>
          <w:p w14:paraId="4673614D" w14:textId="77777777" w:rsidR="0012628A" w:rsidRPr="0012628A" w:rsidRDefault="0012628A" w:rsidP="0012628A">
            <w:pPr>
              <w:ind w:firstLine="708"/>
              <w:rPr>
                <w:rFonts w:ascii="Times New Roman" w:hAnsi="Times New Roman" w:cs="Times New Roman"/>
                <w:b/>
                <w:bCs/>
                <w:sz w:val="20"/>
                <w:szCs w:val="20"/>
              </w:rPr>
            </w:pPr>
            <w:r w:rsidRPr="0012628A">
              <w:rPr>
                <w:rFonts w:ascii="Times New Roman" w:hAnsi="Times New Roman" w:cs="Times New Roman"/>
                <w:b/>
                <w:bCs/>
                <w:sz w:val="20"/>
                <w:szCs w:val="20"/>
              </w:rPr>
              <w:t> </w:t>
            </w:r>
          </w:p>
        </w:tc>
        <w:tc>
          <w:tcPr>
            <w:tcW w:w="567" w:type="dxa"/>
            <w:noWrap/>
            <w:hideMark/>
          </w:tcPr>
          <w:p w14:paraId="5368AAA0" w14:textId="77777777" w:rsidR="0012628A" w:rsidRPr="0012628A" w:rsidRDefault="0012628A" w:rsidP="0012628A">
            <w:pPr>
              <w:ind w:firstLine="708"/>
              <w:rPr>
                <w:rFonts w:ascii="Times New Roman" w:hAnsi="Times New Roman" w:cs="Times New Roman"/>
                <w:b/>
                <w:bCs/>
                <w:sz w:val="20"/>
                <w:szCs w:val="20"/>
              </w:rPr>
            </w:pPr>
            <w:r w:rsidRPr="0012628A">
              <w:rPr>
                <w:rFonts w:ascii="Times New Roman" w:hAnsi="Times New Roman" w:cs="Times New Roman"/>
                <w:b/>
                <w:bCs/>
                <w:sz w:val="20"/>
                <w:szCs w:val="20"/>
              </w:rPr>
              <w:t> </w:t>
            </w:r>
          </w:p>
        </w:tc>
        <w:tc>
          <w:tcPr>
            <w:tcW w:w="874" w:type="dxa"/>
            <w:hideMark/>
          </w:tcPr>
          <w:p w14:paraId="7166AC4A" w14:textId="77777777" w:rsidR="0012628A" w:rsidRPr="0012628A" w:rsidRDefault="0012628A" w:rsidP="00A35106">
            <w:pPr>
              <w:jc w:val="center"/>
              <w:rPr>
                <w:rFonts w:ascii="Times New Roman" w:hAnsi="Times New Roman" w:cs="Times New Roman"/>
                <w:b/>
                <w:bCs/>
                <w:sz w:val="20"/>
                <w:szCs w:val="20"/>
              </w:rPr>
            </w:pPr>
            <w:r w:rsidRPr="0012628A">
              <w:rPr>
                <w:rFonts w:ascii="Times New Roman" w:hAnsi="Times New Roman" w:cs="Times New Roman"/>
                <w:b/>
                <w:bCs/>
                <w:sz w:val="20"/>
                <w:szCs w:val="20"/>
              </w:rPr>
              <w:t>UKUPNO, trošak provedbe,  po godinama</w:t>
            </w:r>
          </w:p>
        </w:tc>
        <w:tc>
          <w:tcPr>
            <w:tcW w:w="665" w:type="dxa"/>
            <w:noWrap/>
            <w:hideMark/>
          </w:tcPr>
          <w:p w14:paraId="0AEC8FDE" w14:textId="77777777" w:rsidR="0012628A" w:rsidRPr="0012628A" w:rsidRDefault="0012628A" w:rsidP="0012628A">
            <w:pPr>
              <w:ind w:firstLine="708"/>
              <w:rPr>
                <w:rFonts w:ascii="Times New Roman" w:hAnsi="Times New Roman" w:cs="Times New Roman"/>
                <w:b/>
                <w:bCs/>
                <w:sz w:val="20"/>
                <w:szCs w:val="20"/>
              </w:rPr>
            </w:pPr>
            <w:r w:rsidRPr="0012628A">
              <w:rPr>
                <w:rFonts w:ascii="Times New Roman" w:hAnsi="Times New Roman" w:cs="Times New Roman"/>
                <w:b/>
                <w:bCs/>
                <w:sz w:val="20"/>
                <w:szCs w:val="20"/>
              </w:rPr>
              <w:t> </w:t>
            </w:r>
          </w:p>
        </w:tc>
        <w:tc>
          <w:tcPr>
            <w:tcW w:w="885" w:type="dxa"/>
            <w:noWrap/>
            <w:hideMark/>
          </w:tcPr>
          <w:p w14:paraId="3057EA3A"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105.945.460 kn</w:t>
            </w:r>
          </w:p>
        </w:tc>
        <w:tc>
          <w:tcPr>
            <w:tcW w:w="885" w:type="dxa"/>
            <w:noWrap/>
            <w:hideMark/>
          </w:tcPr>
          <w:p w14:paraId="37C17DD9"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100.172.375 kn</w:t>
            </w:r>
          </w:p>
        </w:tc>
        <w:tc>
          <w:tcPr>
            <w:tcW w:w="885" w:type="dxa"/>
            <w:noWrap/>
            <w:hideMark/>
          </w:tcPr>
          <w:p w14:paraId="1505D250"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113.490.006 kn</w:t>
            </w:r>
          </w:p>
        </w:tc>
        <w:tc>
          <w:tcPr>
            <w:tcW w:w="986" w:type="dxa"/>
            <w:noWrap/>
            <w:hideMark/>
          </w:tcPr>
          <w:p w14:paraId="1B6210CB"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319.607.841 kn</w:t>
            </w:r>
          </w:p>
        </w:tc>
        <w:tc>
          <w:tcPr>
            <w:tcW w:w="986" w:type="dxa"/>
            <w:noWrap/>
            <w:hideMark/>
          </w:tcPr>
          <w:p w14:paraId="1C2B0B66"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963.024.365 kn</w:t>
            </w:r>
          </w:p>
        </w:tc>
        <w:tc>
          <w:tcPr>
            <w:tcW w:w="829" w:type="dxa"/>
            <w:noWrap/>
            <w:hideMark/>
          </w:tcPr>
          <w:p w14:paraId="3A60FEC1" w14:textId="77777777" w:rsidR="0012628A" w:rsidRPr="0012628A" w:rsidRDefault="0012628A" w:rsidP="0012628A">
            <w:pPr>
              <w:ind w:firstLine="708"/>
              <w:rPr>
                <w:rFonts w:ascii="Times New Roman" w:hAnsi="Times New Roman" w:cs="Times New Roman"/>
                <w:b/>
                <w:bCs/>
                <w:sz w:val="20"/>
                <w:szCs w:val="20"/>
              </w:rPr>
            </w:pPr>
            <w:r w:rsidRPr="0012628A">
              <w:rPr>
                <w:rFonts w:ascii="Times New Roman" w:hAnsi="Times New Roman" w:cs="Times New Roman"/>
                <w:b/>
                <w:bCs/>
                <w:sz w:val="20"/>
                <w:szCs w:val="20"/>
              </w:rPr>
              <w:t> </w:t>
            </w:r>
          </w:p>
        </w:tc>
      </w:tr>
      <w:tr w:rsidR="006C449F" w:rsidRPr="0012628A" w14:paraId="77ECE3AE" w14:textId="77777777" w:rsidTr="0012628A">
        <w:trPr>
          <w:trHeight w:val="810"/>
        </w:trPr>
        <w:tc>
          <w:tcPr>
            <w:tcW w:w="939" w:type="dxa"/>
            <w:hideMark/>
          </w:tcPr>
          <w:p w14:paraId="1DF93BF5" w14:textId="77777777" w:rsidR="0012628A" w:rsidRPr="0012628A" w:rsidRDefault="0012628A" w:rsidP="0012628A">
            <w:pPr>
              <w:ind w:firstLine="708"/>
              <w:rPr>
                <w:rFonts w:ascii="Times New Roman" w:hAnsi="Times New Roman" w:cs="Times New Roman"/>
                <w:sz w:val="20"/>
                <w:szCs w:val="20"/>
              </w:rPr>
            </w:pPr>
            <w:r w:rsidRPr="0012628A">
              <w:rPr>
                <w:rFonts w:ascii="Times New Roman" w:hAnsi="Times New Roman" w:cs="Times New Roman"/>
                <w:sz w:val="20"/>
                <w:szCs w:val="20"/>
              </w:rPr>
              <w:t> </w:t>
            </w:r>
          </w:p>
        </w:tc>
        <w:tc>
          <w:tcPr>
            <w:tcW w:w="895" w:type="dxa"/>
            <w:hideMark/>
          </w:tcPr>
          <w:p w14:paraId="7D7DDDF9" w14:textId="77777777" w:rsidR="0012628A" w:rsidRPr="0012628A" w:rsidRDefault="0012628A" w:rsidP="0012628A">
            <w:pPr>
              <w:ind w:firstLine="708"/>
              <w:rPr>
                <w:rFonts w:ascii="Times New Roman" w:hAnsi="Times New Roman" w:cs="Times New Roman"/>
                <w:sz w:val="20"/>
                <w:szCs w:val="20"/>
              </w:rPr>
            </w:pPr>
            <w:r w:rsidRPr="0012628A">
              <w:rPr>
                <w:rFonts w:ascii="Times New Roman" w:hAnsi="Times New Roman" w:cs="Times New Roman"/>
                <w:sz w:val="20"/>
                <w:szCs w:val="20"/>
              </w:rPr>
              <w:t> </w:t>
            </w:r>
          </w:p>
        </w:tc>
        <w:tc>
          <w:tcPr>
            <w:tcW w:w="567" w:type="dxa"/>
            <w:hideMark/>
          </w:tcPr>
          <w:p w14:paraId="60B98D98" w14:textId="77777777" w:rsidR="0012628A" w:rsidRPr="0012628A" w:rsidRDefault="0012628A" w:rsidP="0012628A">
            <w:pPr>
              <w:ind w:firstLine="708"/>
              <w:rPr>
                <w:rFonts w:ascii="Times New Roman" w:hAnsi="Times New Roman" w:cs="Times New Roman"/>
                <w:sz w:val="20"/>
                <w:szCs w:val="20"/>
              </w:rPr>
            </w:pPr>
            <w:r w:rsidRPr="0012628A">
              <w:rPr>
                <w:rFonts w:ascii="Times New Roman" w:hAnsi="Times New Roman" w:cs="Times New Roman"/>
                <w:sz w:val="20"/>
                <w:szCs w:val="20"/>
              </w:rPr>
              <w:t> </w:t>
            </w:r>
          </w:p>
        </w:tc>
        <w:tc>
          <w:tcPr>
            <w:tcW w:w="874" w:type="dxa"/>
            <w:hideMark/>
          </w:tcPr>
          <w:p w14:paraId="4979EF0A"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SVEUKUPNO</w:t>
            </w:r>
          </w:p>
        </w:tc>
        <w:tc>
          <w:tcPr>
            <w:tcW w:w="665" w:type="dxa"/>
            <w:hideMark/>
          </w:tcPr>
          <w:p w14:paraId="65D41EE8" w14:textId="77777777" w:rsidR="0012628A" w:rsidRPr="0012628A" w:rsidRDefault="0012628A" w:rsidP="0012628A">
            <w:pPr>
              <w:ind w:firstLine="708"/>
              <w:rPr>
                <w:rFonts w:ascii="Times New Roman" w:hAnsi="Times New Roman" w:cs="Times New Roman"/>
                <w:sz w:val="20"/>
                <w:szCs w:val="20"/>
              </w:rPr>
            </w:pPr>
            <w:r w:rsidRPr="0012628A">
              <w:rPr>
                <w:rFonts w:ascii="Times New Roman" w:hAnsi="Times New Roman" w:cs="Times New Roman"/>
                <w:sz w:val="20"/>
                <w:szCs w:val="20"/>
              </w:rPr>
              <w:t> </w:t>
            </w:r>
          </w:p>
        </w:tc>
        <w:tc>
          <w:tcPr>
            <w:tcW w:w="885" w:type="dxa"/>
            <w:noWrap/>
            <w:hideMark/>
          </w:tcPr>
          <w:p w14:paraId="15B2A70A"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505.174.152 kn</w:t>
            </w:r>
          </w:p>
        </w:tc>
        <w:tc>
          <w:tcPr>
            <w:tcW w:w="885" w:type="dxa"/>
            <w:noWrap/>
            <w:hideMark/>
          </w:tcPr>
          <w:p w14:paraId="01BEEEAC"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401.362.304 kn</w:t>
            </w:r>
          </w:p>
        </w:tc>
        <w:tc>
          <w:tcPr>
            <w:tcW w:w="885" w:type="dxa"/>
            <w:noWrap/>
            <w:hideMark/>
          </w:tcPr>
          <w:p w14:paraId="14D6ED44"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402.048.855 kn</w:t>
            </w:r>
          </w:p>
        </w:tc>
        <w:tc>
          <w:tcPr>
            <w:tcW w:w="986" w:type="dxa"/>
            <w:noWrap/>
            <w:hideMark/>
          </w:tcPr>
          <w:p w14:paraId="145906B3"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1.308.585.311 kn</w:t>
            </w:r>
          </w:p>
        </w:tc>
        <w:tc>
          <w:tcPr>
            <w:tcW w:w="986" w:type="dxa"/>
            <w:noWrap/>
            <w:hideMark/>
          </w:tcPr>
          <w:p w14:paraId="3662C5F6" w14:textId="77777777" w:rsidR="0012628A" w:rsidRPr="0012628A" w:rsidRDefault="0012628A" w:rsidP="006C449F">
            <w:pPr>
              <w:rPr>
                <w:rFonts w:ascii="Times New Roman" w:hAnsi="Times New Roman" w:cs="Times New Roman"/>
                <w:b/>
                <w:bCs/>
                <w:sz w:val="20"/>
                <w:szCs w:val="20"/>
              </w:rPr>
            </w:pPr>
            <w:r w:rsidRPr="0012628A">
              <w:rPr>
                <w:rFonts w:ascii="Times New Roman" w:hAnsi="Times New Roman" w:cs="Times New Roman"/>
                <w:b/>
                <w:bCs/>
                <w:sz w:val="20"/>
                <w:szCs w:val="20"/>
              </w:rPr>
              <w:t>2.454.073.059 kn</w:t>
            </w:r>
          </w:p>
        </w:tc>
        <w:tc>
          <w:tcPr>
            <w:tcW w:w="829" w:type="dxa"/>
            <w:hideMark/>
          </w:tcPr>
          <w:p w14:paraId="06514C68" w14:textId="77777777" w:rsidR="0012628A" w:rsidRPr="0012628A" w:rsidRDefault="0012628A" w:rsidP="0012628A">
            <w:pPr>
              <w:ind w:firstLine="708"/>
              <w:rPr>
                <w:rFonts w:ascii="Times New Roman" w:hAnsi="Times New Roman" w:cs="Times New Roman"/>
                <w:sz w:val="20"/>
                <w:szCs w:val="20"/>
              </w:rPr>
            </w:pPr>
            <w:r w:rsidRPr="0012628A">
              <w:rPr>
                <w:rFonts w:ascii="Times New Roman" w:hAnsi="Times New Roman" w:cs="Times New Roman"/>
                <w:sz w:val="20"/>
                <w:szCs w:val="20"/>
              </w:rPr>
              <w:t> </w:t>
            </w:r>
          </w:p>
        </w:tc>
      </w:tr>
    </w:tbl>
    <w:p w14:paraId="606E74B6" w14:textId="77777777" w:rsidR="009150DF" w:rsidRDefault="009150DF" w:rsidP="007D4156">
      <w:pPr>
        <w:ind w:firstLine="708"/>
        <w:rPr>
          <w:rFonts w:ascii="Times New Roman" w:hAnsi="Times New Roman" w:cs="Times New Roman"/>
          <w:sz w:val="20"/>
          <w:szCs w:val="20"/>
        </w:rPr>
      </w:pPr>
    </w:p>
    <w:sectPr w:rsidR="009150DF" w:rsidSect="00117548">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3A65" w14:textId="77777777" w:rsidR="0079001A" w:rsidRDefault="0079001A" w:rsidP="006C449F">
      <w:pPr>
        <w:spacing w:after="0" w:line="240" w:lineRule="auto"/>
      </w:pPr>
      <w:r>
        <w:separator/>
      </w:r>
    </w:p>
  </w:endnote>
  <w:endnote w:type="continuationSeparator" w:id="0">
    <w:p w14:paraId="4AAC6C33" w14:textId="77777777" w:rsidR="0079001A" w:rsidRDefault="0079001A" w:rsidP="006C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314002"/>
      <w:docPartObj>
        <w:docPartGallery w:val="Page Numbers (Bottom of Page)"/>
        <w:docPartUnique/>
      </w:docPartObj>
    </w:sdtPr>
    <w:sdtEndPr>
      <w:rPr>
        <w:rFonts w:ascii="Times New Roman" w:hAnsi="Times New Roman" w:cs="Times New Roman"/>
      </w:rPr>
    </w:sdtEndPr>
    <w:sdtContent>
      <w:p w14:paraId="3CE16C43" w14:textId="168AA240" w:rsidR="006C449F" w:rsidRPr="00A35106" w:rsidRDefault="006C449F">
        <w:pPr>
          <w:pStyle w:val="Podnoje"/>
          <w:jc w:val="right"/>
          <w:rPr>
            <w:rFonts w:ascii="Times New Roman" w:hAnsi="Times New Roman" w:cs="Times New Roman"/>
          </w:rPr>
        </w:pPr>
        <w:r w:rsidRPr="00A35106">
          <w:rPr>
            <w:rFonts w:ascii="Times New Roman" w:hAnsi="Times New Roman" w:cs="Times New Roman"/>
          </w:rPr>
          <w:fldChar w:fldCharType="begin"/>
        </w:r>
        <w:r w:rsidRPr="00A35106">
          <w:rPr>
            <w:rFonts w:ascii="Times New Roman" w:hAnsi="Times New Roman" w:cs="Times New Roman"/>
          </w:rPr>
          <w:instrText>PAGE   \* MERGEFORMAT</w:instrText>
        </w:r>
        <w:r w:rsidRPr="00A35106">
          <w:rPr>
            <w:rFonts w:ascii="Times New Roman" w:hAnsi="Times New Roman" w:cs="Times New Roman"/>
          </w:rPr>
          <w:fldChar w:fldCharType="separate"/>
        </w:r>
        <w:r w:rsidR="000A28B6">
          <w:rPr>
            <w:rFonts w:ascii="Times New Roman" w:hAnsi="Times New Roman" w:cs="Times New Roman"/>
            <w:noProof/>
          </w:rPr>
          <w:t>29</w:t>
        </w:r>
        <w:r w:rsidRPr="00A35106">
          <w:rPr>
            <w:rFonts w:ascii="Times New Roman" w:hAnsi="Times New Roman" w:cs="Times New Roman"/>
          </w:rPr>
          <w:fldChar w:fldCharType="end"/>
        </w:r>
      </w:p>
    </w:sdtContent>
  </w:sdt>
  <w:p w14:paraId="323D1A89" w14:textId="77777777" w:rsidR="006C449F" w:rsidRDefault="006C44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A2ABE" w14:textId="77777777" w:rsidR="0079001A" w:rsidRDefault="0079001A" w:rsidP="006C449F">
      <w:pPr>
        <w:spacing w:after="0" w:line="240" w:lineRule="auto"/>
      </w:pPr>
      <w:r>
        <w:separator/>
      </w:r>
    </w:p>
  </w:footnote>
  <w:footnote w:type="continuationSeparator" w:id="0">
    <w:p w14:paraId="5ECD7BBE" w14:textId="77777777" w:rsidR="0079001A" w:rsidRDefault="0079001A" w:rsidP="006C4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3A"/>
    <w:rsid w:val="000374AC"/>
    <w:rsid w:val="0006228B"/>
    <w:rsid w:val="000A28B6"/>
    <w:rsid w:val="00117548"/>
    <w:rsid w:val="0012628A"/>
    <w:rsid w:val="00150043"/>
    <w:rsid w:val="00166ADD"/>
    <w:rsid w:val="002248A4"/>
    <w:rsid w:val="00285005"/>
    <w:rsid w:val="002A62F2"/>
    <w:rsid w:val="003127BD"/>
    <w:rsid w:val="003366D4"/>
    <w:rsid w:val="00341D4E"/>
    <w:rsid w:val="00424E77"/>
    <w:rsid w:val="005525AC"/>
    <w:rsid w:val="00575AB4"/>
    <w:rsid w:val="005D313A"/>
    <w:rsid w:val="00610C4D"/>
    <w:rsid w:val="0061686D"/>
    <w:rsid w:val="00654C6A"/>
    <w:rsid w:val="006C449F"/>
    <w:rsid w:val="006F41E9"/>
    <w:rsid w:val="00753535"/>
    <w:rsid w:val="0079001A"/>
    <w:rsid w:val="00793828"/>
    <w:rsid w:val="007D4156"/>
    <w:rsid w:val="00910446"/>
    <w:rsid w:val="009150DF"/>
    <w:rsid w:val="00980161"/>
    <w:rsid w:val="009C2C6D"/>
    <w:rsid w:val="009F394D"/>
    <w:rsid w:val="00A35106"/>
    <w:rsid w:val="00AB693A"/>
    <w:rsid w:val="00AF2782"/>
    <w:rsid w:val="00B0680C"/>
    <w:rsid w:val="00B3735C"/>
    <w:rsid w:val="00B738DA"/>
    <w:rsid w:val="00BE7C81"/>
    <w:rsid w:val="00C92457"/>
    <w:rsid w:val="00CB3F29"/>
    <w:rsid w:val="00CF387A"/>
    <w:rsid w:val="00DC1F8B"/>
    <w:rsid w:val="00DD1803"/>
    <w:rsid w:val="00F34868"/>
    <w:rsid w:val="00F36E75"/>
    <w:rsid w:val="00F7473A"/>
    <w:rsid w:val="00FF20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0DA"/>
  <w15:chartTrackingRefBased/>
  <w15:docId w15:val="{CF150DF4-E361-4D58-AB63-E8C87DE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5"/>
    <w:qFormat/>
    <w:rsid w:val="00F7473A"/>
    <w:pPr>
      <w:keepNext/>
      <w:keepLines/>
      <w:pBdr>
        <w:bottom w:val="single" w:sz="18" w:space="1" w:color="5B9BD5"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5"/>
    <w:rsid w:val="00F7473A"/>
    <w:rPr>
      <w:rFonts w:asciiTheme="majorHAnsi" w:eastAsiaTheme="majorEastAsia" w:hAnsiTheme="majorHAnsi" w:cstheme="majorBidi"/>
      <w:color w:val="3B3838" w:themeColor="background2" w:themeShade="40"/>
      <w:kern w:val="28"/>
      <w:sz w:val="52"/>
      <w:szCs w:val="52"/>
      <w14:ligatures w14:val="standard"/>
      <w14:numForm w14:val="oldStyle"/>
    </w:rPr>
  </w:style>
  <w:style w:type="table" w:styleId="Reetkatablice">
    <w:name w:val="Table Grid"/>
    <w:basedOn w:val="Obinatablica"/>
    <w:uiPriority w:val="39"/>
    <w:rsid w:val="00AB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C44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C449F"/>
  </w:style>
  <w:style w:type="paragraph" w:styleId="Podnoje">
    <w:name w:val="footer"/>
    <w:basedOn w:val="Normal"/>
    <w:link w:val="PodnojeChar"/>
    <w:uiPriority w:val="99"/>
    <w:unhideWhenUsed/>
    <w:rsid w:val="006C44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C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184">
      <w:bodyDiv w:val="1"/>
      <w:marLeft w:val="0"/>
      <w:marRight w:val="0"/>
      <w:marTop w:val="0"/>
      <w:marBottom w:val="0"/>
      <w:divBdr>
        <w:top w:val="none" w:sz="0" w:space="0" w:color="auto"/>
        <w:left w:val="none" w:sz="0" w:space="0" w:color="auto"/>
        <w:bottom w:val="none" w:sz="0" w:space="0" w:color="auto"/>
        <w:right w:val="none" w:sz="0" w:space="0" w:color="auto"/>
      </w:divBdr>
    </w:div>
    <w:div w:id="182867135">
      <w:bodyDiv w:val="1"/>
      <w:marLeft w:val="0"/>
      <w:marRight w:val="0"/>
      <w:marTop w:val="0"/>
      <w:marBottom w:val="0"/>
      <w:divBdr>
        <w:top w:val="none" w:sz="0" w:space="0" w:color="auto"/>
        <w:left w:val="none" w:sz="0" w:space="0" w:color="auto"/>
        <w:bottom w:val="none" w:sz="0" w:space="0" w:color="auto"/>
        <w:right w:val="none" w:sz="0" w:space="0" w:color="auto"/>
      </w:divBdr>
    </w:div>
    <w:div w:id="291055302">
      <w:bodyDiv w:val="1"/>
      <w:marLeft w:val="0"/>
      <w:marRight w:val="0"/>
      <w:marTop w:val="0"/>
      <w:marBottom w:val="0"/>
      <w:divBdr>
        <w:top w:val="none" w:sz="0" w:space="0" w:color="auto"/>
        <w:left w:val="none" w:sz="0" w:space="0" w:color="auto"/>
        <w:bottom w:val="none" w:sz="0" w:space="0" w:color="auto"/>
        <w:right w:val="none" w:sz="0" w:space="0" w:color="auto"/>
      </w:divBdr>
    </w:div>
    <w:div w:id="323779507">
      <w:bodyDiv w:val="1"/>
      <w:marLeft w:val="0"/>
      <w:marRight w:val="0"/>
      <w:marTop w:val="0"/>
      <w:marBottom w:val="0"/>
      <w:divBdr>
        <w:top w:val="none" w:sz="0" w:space="0" w:color="auto"/>
        <w:left w:val="none" w:sz="0" w:space="0" w:color="auto"/>
        <w:bottom w:val="none" w:sz="0" w:space="0" w:color="auto"/>
        <w:right w:val="none" w:sz="0" w:space="0" w:color="auto"/>
      </w:divBdr>
    </w:div>
    <w:div w:id="524246621">
      <w:bodyDiv w:val="1"/>
      <w:marLeft w:val="0"/>
      <w:marRight w:val="0"/>
      <w:marTop w:val="0"/>
      <w:marBottom w:val="0"/>
      <w:divBdr>
        <w:top w:val="none" w:sz="0" w:space="0" w:color="auto"/>
        <w:left w:val="none" w:sz="0" w:space="0" w:color="auto"/>
        <w:bottom w:val="none" w:sz="0" w:space="0" w:color="auto"/>
        <w:right w:val="none" w:sz="0" w:space="0" w:color="auto"/>
      </w:divBdr>
    </w:div>
    <w:div w:id="568226001">
      <w:bodyDiv w:val="1"/>
      <w:marLeft w:val="0"/>
      <w:marRight w:val="0"/>
      <w:marTop w:val="0"/>
      <w:marBottom w:val="0"/>
      <w:divBdr>
        <w:top w:val="none" w:sz="0" w:space="0" w:color="auto"/>
        <w:left w:val="none" w:sz="0" w:space="0" w:color="auto"/>
        <w:bottom w:val="none" w:sz="0" w:space="0" w:color="auto"/>
        <w:right w:val="none" w:sz="0" w:space="0" w:color="auto"/>
      </w:divBdr>
    </w:div>
    <w:div w:id="900797635">
      <w:bodyDiv w:val="1"/>
      <w:marLeft w:val="0"/>
      <w:marRight w:val="0"/>
      <w:marTop w:val="0"/>
      <w:marBottom w:val="0"/>
      <w:divBdr>
        <w:top w:val="none" w:sz="0" w:space="0" w:color="auto"/>
        <w:left w:val="none" w:sz="0" w:space="0" w:color="auto"/>
        <w:bottom w:val="none" w:sz="0" w:space="0" w:color="auto"/>
        <w:right w:val="none" w:sz="0" w:space="0" w:color="auto"/>
      </w:divBdr>
    </w:div>
    <w:div w:id="1214152235">
      <w:bodyDiv w:val="1"/>
      <w:marLeft w:val="0"/>
      <w:marRight w:val="0"/>
      <w:marTop w:val="0"/>
      <w:marBottom w:val="0"/>
      <w:divBdr>
        <w:top w:val="none" w:sz="0" w:space="0" w:color="auto"/>
        <w:left w:val="none" w:sz="0" w:space="0" w:color="auto"/>
        <w:bottom w:val="none" w:sz="0" w:space="0" w:color="auto"/>
        <w:right w:val="none" w:sz="0" w:space="0" w:color="auto"/>
      </w:divBdr>
    </w:div>
    <w:div w:id="1272934767">
      <w:bodyDiv w:val="1"/>
      <w:marLeft w:val="0"/>
      <w:marRight w:val="0"/>
      <w:marTop w:val="0"/>
      <w:marBottom w:val="0"/>
      <w:divBdr>
        <w:top w:val="none" w:sz="0" w:space="0" w:color="auto"/>
        <w:left w:val="none" w:sz="0" w:space="0" w:color="auto"/>
        <w:bottom w:val="none" w:sz="0" w:space="0" w:color="auto"/>
        <w:right w:val="none" w:sz="0" w:space="0" w:color="auto"/>
      </w:divBdr>
    </w:div>
    <w:div w:id="1336767566">
      <w:bodyDiv w:val="1"/>
      <w:marLeft w:val="0"/>
      <w:marRight w:val="0"/>
      <w:marTop w:val="0"/>
      <w:marBottom w:val="0"/>
      <w:divBdr>
        <w:top w:val="none" w:sz="0" w:space="0" w:color="auto"/>
        <w:left w:val="none" w:sz="0" w:space="0" w:color="auto"/>
        <w:bottom w:val="none" w:sz="0" w:space="0" w:color="auto"/>
        <w:right w:val="none" w:sz="0" w:space="0" w:color="auto"/>
      </w:divBdr>
    </w:div>
    <w:div w:id="1410300331">
      <w:bodyDiv w:val="1"/>
      <w:marLeft w:val="0"/>
      <w:marRight w:val="0"/>
      <w:marTop w:val="0"/>
      <w:marBottom w:val="0"/>
      <w:divBdr>
        <w:top w:val="none" w:sz="0" w:space="0" w:color="auto"/>
        <w:left w:val="none" w:sz="0" w:space="0" w:color="auto"/>
        <w:bottom w:val="none" w:sz="0" w:space="0" w:color="auto"/>
        <w:right w:val="none" w:sz="0" w:space="0" w:color="auto"/>
      </w:divBdr>
    </w:div>
    <w:div w:id="1718968785">
      <w:bodyDiv w:val="1"/>
      <w:marLeft w:val="0"/>
      <w:marRight w:val="0"/>
      <w:marTop w:val="0"/>
      <w:marBottom w:val="0"/>
      <w:divBdr>
        <w:top w:val="none" w:sz="0" w:space="0" w:color="auto"/>
        <w:left w:val="none" w:sz="0" w:space="0" w:color="auto"/>
        <w:bottom w:val="none" w:sz="0" w:space="0" w:color="auto"/>
        <w:right w:val="none" w:sz="0" w:space="0" w:color="auto"/>
      </w:divBdr>
    </w:div>
    <w:div w:id="18801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AZJMDCZ6QSYZ-7492995-6549</_dlc_DocId>
    <_dlc_DocIdUrl xmlns="a494813a-d0d8-4dad-94cb-0d196f36ba15">
      <Url>https://ekoordinacije.vlada.hr/unutarnja-vanjska-politika/_layouts/15/DocIdRedir.aspx?ID=AZJMDCZ6QSYZ-7492995-6549</Url>
      <Description>AZJMDCZ6QSYZ-7492995-6549</Description>
    </_dlc_DocIdUrl>
  </documentManagement>
</p:properties>
</file>

<file path=customXml/itemProps1.xml><?xml version="1.0" encoding="utf-8"?>
<ds:datastoreItem xmlns:ds="http://schemas.openxmlformats.org/officeDocument/2006/customXml" ds:itemID="{FBD5E0BE-EC45-4239-8820-4FC426447C76}">
  <ds:schemaRefs>
    <ds:schemaRef ds:uri="http://schemas.openxmlformats.org/officeDocument/2006/bibliography"/>
  </ds:schemaRefs>
</ds:datastoreItem>
</file>

<file path=customXml/itemProps2.xml><?xml version="1.0" encoding="utf-8"?>
<ds:datastoreItem xmlns:ds="http://schemas.openxmlformats.org/officeDocument/2006/customXml" ds:itemID="{EA575848-7C04-4572-96F5-AC31C45A92AF}"/>
</file>

<file path=customXml/itemProps3.xml><?xml version="1.0" encoding="utf-8"?>
<ds:datastoreItem xmlns:ds="http://schemas.openxmlformats.org/officeDocument/2006/customXml" ds:itemID="{88E6748B-8818-4D8D-92A4-1025A9301DDB}"/>
</file>

<file path=customXml/itemProps4.xml><?xml version="1.0" encoding="utf-8"?>
<ds:datastoreItem xmlns:ds="http://schemas.openxmlformats.org/officeDocument/2006/customXml" ds:itemID="{A9A268D9-A0B8-4149-8D5D-DAB215E9394A}"/>
</file>

<file path=customXml/itemProps5.xml><?xml version="1.0" encoding="utf-8"?>
<ds:datastoreItem xmlns:ds="http://schemas.openxmlformats.org/officeDocument/2006/customXml" ds:itemID="{D2C7B97F-EB6D-4A05-B138-51FFCB06E84F}"/>
</file>

<file path=docProps/app.xml><?xml version="1.0" encoding="utf-8"?>
<Properties xmlns="http://schemas.openxmlformats.org/officeDocument/2006/extended-properties" xmlns:vt="http://schemas.openxmlformats.org/officeDocument/2006/docPropsVTypes">
  <Template>Normal</Template>
  <TotalTime>1</TotalTime>
  <Pages>34</Pages>
  <Words>5822</Words>
  <Characters>33186</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Nagy</dc:creator>
  <cp:keywords/>
  <dc:description/>
  <cp:lastModifiedBy>Snježana Šimunović-Suknaić</cp:lastModifiedBy>
  <cp:revision>2</cp:revision>
  <dcterms:created xsi:type="dcterms:W3CDTF">2022-03-04T10:08:00Z</dcterms:created>
  <dcterms:modified xsi:type="dcterms:W3CDTF">2022-03-04T10:08:00Z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3e7c40aa-712b-497d-a50a-e7ace37fe7e1</vt:lpwstr>
  </property>
</Properties>
</file>